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1C73E4BC">
                <wp:simplePos x="0" y="0"/>
                <wp:positionH relativeFrom="column">
                  <wp:posOffset>-206375</wp:posOffset>
                </wp:positionH>
                <wp:positionV relativeFrom="paragraph">
                  <wp:posOffset>159385</wp:posOffset>
                </wp:positionV>
                <wp:extent cx="6092825" cy="3204210"/>
                <wp:effectExtent l="190500" t="133350" r="193675" b="24384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20421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25pt;margin-top:12.55pt;width:479.75pt;height:252.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r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0A455A2B" w:rsidR="00A427B6" w:rsidRPr="00185B69"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sidR="006A7B60" w:rsidRPr="00185B69">
        <w:rPr>
          <w:rFonts w:ascii="Calibri" w:eastAsia="Arial" w:hAnsi="Calibri" w:cs="Calibri"/>
          <w:b/>
          <w:bCs/>
          <w:sz w:val="36"/>
          <w:szCs w:val="36"/>
          <w:lang w:val="fr" w:eastAsia="fr-FR"/>
        </w:rPr>
        <w:t>2</w:t>
      </w:r>
      <w:r w:rsidRPr="00185B69">
        <w:rPr>
          <w:rFonts w:ascii="Calibri" w:eastAsia="Arial" w:hAnsi="Calibri" w:cs="Calibri"/>
          <w:b/>
          <w:bCs/>
          <w:sz w:val="36"/>
          <w:szCs w:val="36"/>
          <w:lang w:val="fr" w:eastAsia="fr-FR"/>
        </w:rPr>
        <w:t> :</w:t>
      </w:r>
    </w:p>
    <w:bookmarkEnd w:id="0"/>
    <w:p w14:paraId="3C957A40" w14:textId="4CA1DCF1" w:rsidR="006A7B60" w:rsidRPr="00185B69" w:rsidRDefault="006A7B60" w:rsidP="0092520C">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Tierce maintenance applicative et évolutive des applicatifs métiers</w:t>
      </w:r>
    </w:p>
    <w:p w14:paraId="58FC1BDF" w14:textId="21F96857" w:rsidR="004A2C7E" w:rsidRPr="00DD6E07" w:rsidRDefault="004A2C7E" w:rsidP="0092520C">
      <w:pPr>
        <w:pStyle w:val="Titre1"/>
        <w:numPr>
          <w:ilvl w:val="0"/>
          <w:numId w:val="0"/>
        </w:numPr>
        <w:shd w:val="clear" w:color="auto" w:fill="DC8C00"/>
        <w:contextualSpacing/>
        <w:rPr>
          <w:color w:val="FFFFFF" w:themeColor="background1"/>
        </w:rPr>
      </w:pPr>
      <w:r>
        <w:rPr>
          <w:rFonts w:ascii="Arial" w:hAnsi="Arial"/>
          <w:sz w:val="20"/>
        </w:rPr>
        <w:br w:type="column"/>
      </w:r>
      <w:bookmarkStart w:id="1" w:name="_Toc222244149"/>
      <w:r>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222244150"/>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DB091B">
      <w:pPr>
        <w:pStyle w:val="Paragraphedeliste"/>
        <w:numPr>
          <w:ilvl w:val="0"/>
          <w:numId w:val="12"/>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DB091B">
      <w:pPr>
        <w:pStyle w:val="Paragraphedeliste"/>
        <w:numPr>
          <w:ilvl w:val="0"/>
          <w:numId w:val="12"/>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222244151"/>
      <w:r w:rsidRPr="004A2C7E">
        <w:rPr>
          <w:bCs w:val="0"/>
          <w:color w:val="683766"/>
        </w:rPr>
        <w:t>Présentation de l’établissement</w:t>
      </w:r>
      <w:bookmarkEnd w:id="3"/>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71ABF5A4" w14:textId="11994DB7" w:rsidR="00DB091B"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2244149" w:history="1">
        <w:r w:rsidR="00DB091B" w:rsidRPr="00E70D19">
          <w:rPr>
            <w:rStyle w:val="Lienhypertexte"/>
            <w:noProof/>
          </w:rPr>
          <w:t>Préambule</w:t>
        </w:r>
        <w:r w:rsidR="00DB091B">
          <w:rPr>
            <w:noProof/>
            <w:webHidden/>
          </w:rPr>
          <w:tab/>
        </w:r>
        <w:r w:rsidR="00DB091B">
          <w:rPr>
            <w:noProof/>
            <w:webHidden/>
          </w:rPr>
          <w:tab/>
        </w:r>
        <w:r w:rsidR="00DB091B">
          <w:rPr>
            <w:noProof/>
            <w:webHidden/>
          </w:rPr>
          <w:fldChar w:fldCharType="begin"/>
        </w:r>
        <w:r w:rsidR="00DB091B">
          <w:rPr>
            <w:noProof/>
            <w:webHidden/>
          </w:rPr>
          <w:instrText xml:space="preserve"> PAGEREF _Toc222244149 \h </w:instrText>
        </w:r>
        <w:r w:rsidR="00DB091B">
          <w:rPr>
            <w:noProof/>
            <w:webHidden/>
          </w:rPr>
        </w:r>
        <w:r w:rsidR="00DB091B">
          <w:rPr>
            <w:noProof/>
            <w:webHidden/>
          </w:rPr>
          <w:fldChar w:fldCharType="separate"/>
        </w:r>
        <w:r w:rsidR="00DB091B">
          <w:rPr>
            <w:noProof/>
            <w:webHidden/>
          </w:rPr>
          <w:t>2</w:t>
        </w:r>
        <w:r w:rsidR="00DB091B">
          <w:rPr>
            <w:noProof/>
            <w:webHidden/>
          </w:rPr>
          <w:fldChar w:fldCharType="end"/>
        </w:r>
      </w:hyperlink>
    </w:p>
    <w:p w14:paraId="6CFB7B4D" w14:textId="6FC43F60" w:rsidR="00DB091B" w:rsidRDefault="00DB091B">
      <w:pPr>
        <w:pStyle w:val="TM2"/>
        <w:tabs>
          <w:tab w:val="right" w:leader="dot" w:pos="9062"/>
        </w:tabs>
        <w:rPr>
          <w:rFonts w:eastAsiaTheme="minorEastAsia"/>
          <w:i w:val="0"/>
          <w:noProof/>
          <w:kern w:val="2"/>
          <w:sz w:val="24"/>
          <w:szCs w:val="24"/>
          <w:lang w:eastAsia="fr-FR"/>
          <w14:ligatures w14:val="standardContextual"/>
        </w:rPr>
      </w:pPr>
      <w:hyperlink w:anchor="_Toc222244150" w:history="1">
        <w:r w:rsidRPr="00E70D19">
          <w:rPr>
            <w:rStyle w:val="Lienhypertexte"/>
            <w:noProof/>
          </w:rPr>
          <w:t>Parties contractantes</w:t>
        </w:r>
        <w:r>
          <w:rPr>
            <w:noProof/>
            <w:webHidden/>
          </w:rPr>
          <w:tab/>
        </w:r>
        <w:r>
          <w:rPr>
            <w:noProof/>
            <w:webHidden/>
          </w:rPr>
          <w:fldChar w:fldCharType="begin"/>
        </w:r>
        <w:r>
          <w:rPr>
            <w:noProof/>
            <w:webHidden/>
          </w:rPr>
          <w:instrText xml:space="preserve"> PAGEREF _Toc222244150 \h </w:instrText>
        </w:r>
        <w:r>
          <w:rPr>
            <w:noProof/>
            <w:webHidden/>
          </w:rPr>
        </w:r>
        <w:r>
          <w:rPr>
            <w:noProof/>
            <w:webHidden/>
          </w:rPr>
          <w:fldChar w:fldCharType="separate"/>
        </w:r>
        <w:r>
          <w:rPr>
            <w:noProof/>
            <w:webHidden/>
          </w:rPr>
          <w:t>2</w:t>
        </w:r>
        <w:r>
          <w:rPr>
            <w:noProof/>
            <w:webHidden/>
          </w:rPr>
          <w:fldChar w:fldCharType="end"/>
        </w:r>
      </w:hyperlink>
    </w:p>
    <w:p w14:paraId="06B63A61" w14:textId="2841EB1E" w:rsidR="00DB091B" w:rsidRDefault="00DB091B">
      <w:pPr>
        <w:pStyle w:val="TM2"/>
        <w:tabs>
          <w:tab w:val="right" w:leader="dot" w:pos="9062"/>
        </w:tabs>
        <w:rPr>
          <w:rFonts w:eastAsiaTheme="minorEastAsia"/>
          <w:i w:val="0"/>
          <w:noProof/>
          <w:kern w:val="2"/>
          <w:sz w:val="24"/>
          <w:szCs w:val="24"/>
          <w:lang w:eastAsia="fr-FR"/>
          <w14:ligatures w14:val="standardContextual"/>
        </w:rPr>
      </w:pPr>
      <w:hyperlink w:anchor="_Toc222244151" w:history="1">
        <w:r w:rsidRPr="00E70D19">
          <w:rPr>
            <w:rStyle w:val="Lienhypertexte"/>
            <w:noProof/>
          </w:rPr>
          <w:t>Présentation de l’établissement</w:t>
        </w:r>
        <w:r>
          <w:rPr>
            <w:noProof/>
            <w:webHidden/>
          </w:rPr>
          <w:tab/>
        </w:r>
        <w:r>
          <w:rPr>
            <w:noProof/>
            <w:webHidden/>
          </w:rPr>
          <w:fldChar w:fldCharType="begin"/>
        </w:r>
        <w:r>
          <w:rPr>
            <w:noProof/>
            <w:webHidden/>
          </w:rPr>
          <w:instrText xml:space="preserve"> PAGEREF _Toc222244151 \h </w:instrText>
        </w:r>
        <w:r>
          <w:rPr>
            <w:noProof/>
            <w:webHidden/>
          </w:rPr>
        </w:r>
        <w:r>
          <w:rPr>
            <w:noProof/>
            <w:webHidden/>
          </w:rPr>
          <w:fldChar w:fldCharType="separate"/>
        </w:r>
        <w:r>
          <w:rPr>
            <w:noProof/>
            <w:webHidden/>
          </w:rPr>
          <w:t>2</w:t>
        </w:r>
        <w:r>
          <w:rPr>
            <w:noProof/>
            <w:webHidden/>
          </w:rPr>
          <w:fldChar w:fldCharType="end"/>
        </w:r>
      </w:hyperlink>
    </w:p>
    <w:p w14:paraId="17EA4307" w14:textId="1AFDEAEB" w:rsidR="00DB091B" w:rsidRDefault="00DB091B">
      <w:pPr>
        <w:pStyle w:val="TM1"/>
        <w:rPr>
          <w:rFonts w:eastAsiaTheme="minorEastAsia"/>
          <w:b w:val="0"/>
          <w:noProof/>
          <w:kern w:val="2"/>
          <w:sz w:val="24"/>
          <w:szCs w:val="24"/>
          <w:lang w:eastAsia="fr-FR"/>
          <w14:ligatures w14:val="standardContextual"/>
        </w:rPr>
      </w:pPr>
      <w:hyperlink w:anchor="_Toc222244152" w:history="1">
        <w:r w:rsidRPr="00E70D19">
          <w:rPr>
            <w:rStyle w:val="Lienhypertexte"/>
            <w:noProof/>
          </w:rPr>
          <w:t>ARTICLE 1-</w:t>
        </w:r>
        <w:r>
          <w:rPr>
            <w:rFonts w:eastAsiaTheme="minorEastAsia"/>
            <w:b w:val="0"/>
            <w:noProof/>
            <w:kern w:val="2"/>
            <w:sz w:val="24"/>
            <w:szCs w:val="24"/>
            <w:lang w:eastAsia="fr-FR"/>
            <w14:ligatures w14:val="standardContextual"/>
          </w:rPr>
          <w:tab/>
        </w:r>
        <w:r w:rsidRPr="00E70D19">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_Toc222244152 \h </w:instrText>
        </w:r>
        <w:r>
          <w:rPr>
            <w:noProof/>
            <w:webHidden/>
          </w:rPr>
        </w:r>
        <w:r>
          <w:rPr>
            <w:noProof/>
            <w:webHidden/>
          </w:rPr>
          <w:fldChar w:fldCharType="separate"/>
        </w:r>
        <w:r>
          <w:rPr>
            <w:noProof/>
            <w:webHidden/>
          </w:rPr>
          <w:t>6</w:t>
        </w:r>
        <w:r>
          <w:rPr>
            <w:noProof/>
            <w:webHidden/>
          </w:rPr>
          <w:fldChar w:fldCharType="end"/>
        </w:r>
      </w:hyperlink>
    </w:p>
    <w:p w14:paraId="111A2855" w14:textId="5686E5F5" w:rsidR="00DB091B" w:rsidRDefault="00DB091B">
      <w:pPr>
        <w:pStyle w:val="TM1"/>
        <w:rPr>
          <w:rFonts w:eastAsiaTheme="minorEastAsia"/>
          <w:b w:val="0"/>
          <w:noProof/>
          <w:kern w:val="2"/>
          <w:sz w:val="24"/>
          <w:szCs w:val="24"/>
          <w:lang w:eastAsia="fr-FR"/>
          <w14:ligatures w14:val="standardContextual"/>
        </w:rPr>
      </w:pPr>
      <w:hyperlink w:anchor="_Toc222244153" w:history="1">
        <w:r w:rsidRPr="00E70D19">
          <w:rPr>
            <w:rStyle w:val="Lienhypertexte"/>
            <w:noProof/>
          </w:rPr>
          <w:t xml:space="preserve">ARTICLE 1 </w:t>
        </w:r>
        <w:r>
          <w:rPr>
            <w:rFonts w:eastAsiaTheme="minorEastAsia"/>
            <w:b w:val="0"/>
            <w:noProof/>
            <w:kern w:val="2"/>
            <w:sz w:val="24"/>
            <w:szCs w:val="24"/>
            <w:lang w:eastAsia="fr-FR"/>
            <w14:ligatures w14:val="standardContextual"/>
          </w:rPr>
          <w:tab/>
        </w:r>
        <w:r w:rsidRPr="00E70D19">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_Toc222244153 \h </w:instrText>
        </w:r>
        <w:r>
          <w:rPr>
            <w:noProof/>
            <w:webHidden/>
          </w:rPr>
        </w:r>
        <w:r>
          <w:rPr>
            <w:noProof/>
            <w:webHidden/>
          </w:rPr>
          <w:fldChar w:fldCharType="separate"/>
        </w:r>
        <w:r>
          <w:rPr>
            <w:noProof/>
            <w:webHidden/>
          </w:rPr>
          <w:t>6</w:t>
        </w:r>
        <w:r>
          <w:rPr>
            <w:noProof/>
            <w:webHidden/>
          </w:rPr>
          <w:fldChar w:fldCharType="end"/>
        </w:r>
      </w:hyperlink>
    </w:p>
    <w:p w14:paraId="3389EE9D" w14:textId="3CCDC782" w:rsidR="00DB091B" w:rsidRDefault="00DB091B">
      <w:pPr>
        <w:pStyle w:val="TM1"/>
        <w:rPr>
          <w:rFonts w:eastAsiaTheme="minorEastAsia"/>
          <w:b w:val="0"/>
          <w:noProof/>
          <w:kern w:val="2"/>
          <w:sz w:val="24"/>
          <w:szCs w:val="24"/>
          <w:lang w:eastAsia="fr-FR"/>
          <w14:ligatures w14:val="standardContextual"/>
        </w:rPr>
      </w:pPr>
      <w:hyperlink w:anchor="_Toc222244154" w:history="1">
        <w:r w:rsidRPr="00E70D19">
          <w:rPr>
            <w:rStyle w:val="Lienhypertexte"/>
            <w:noProof/>
          </w:rPr>
          <w:t xml:space="preserve">ARTICLE 1 </w:t>
        </w:r>
        <w:r>
          <w:rPr>
            <w:rFonts w:eastAsiaTheme="minorEastAsia"/>
            <w:b w:val="0"/>
            <w:noProof/>
            <w:kern w:val="2"/>
            <w:sz w:val="24"/>
            <w:szCs w:val="24"/>
            <w:lang w:eastAsia="fr-FR"/>
            <w14:ligatures w14:val="standardContextual"/>
          </w:rPr>
          <w:tab/>
        </w:r>
        <w:r w:rsidRPr="00E70D19">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_Toc222244154 \h </w:instrText>
        </w:r>
        <w:r>
          <w:rPr>
            <w:noProof/>
            <w:webHidden/>
          </w:rPr>
        </w:r>
        <w:r>
          <w:rPr>
            <w:noProof/>
            <w:webHidden/>
          </w:rPr>
          <w:fldChar w:fldCharType="separate"/>
        </w:r>
        <w:r>
          <w:rPr>
            <w:noProof/>
            <w:webHidden/>
          </w:rPr>
          <w:t>7</w:t>
        </w:r>
        <w:r>
          <w:rPr>
            <w:noProof/>
            <w:webHidden/>
          </w:rPr>
          <w:fldChar w:fldCharType="end"/>
        </w:r>
      </w:hyperlink>
    </w:p>
    <w:p w14:paraId="4D93DD8B" w14:textId="6358EFD2" w:rsidR="00DB091B" w:rsidRDefault="00DB091B">
      <w:pPr>
        <w:pStyle w:val="TM1"/>
        <w:rPr>
          <w:rFonts w:eastAsiaTheme="minorEastAsia"/>
          <w:b w:val="0"/>
          <w:noProof/>
          <w:kern w:val="2"/>
          <w:sz w:val="24"/>
          <w:szCs w:val="24"/>
          <w:lang w:eastAsia="fr-FR"/>
          <w14:ligatures w14:val="standardContextual"/>
        </w:rPr>
      </w:pPr>
      <w:hyperlink w:anchor="_Toc222244155" w:history="1">
        <w:r w:rsidRPr="00E70D19">
          <w:rPr>
            <w:rStyle w:val="Lienhypertexte"/>
            <w:noProof/>
          </w:rPr>
          <w:t>ARTICLE 2-</w:t>
        </w:r>
        <w:r>
          <w:rPr>
            <w:rFonts w:eastAsiaTheme="minorEastAsia"/>
            <w:b w:val="0"/>
            <w:noProof/>
            <w:kern w:val="2"/>
            <w:sz w:val="24"/>
            <w:szCs w:val="24"/>
            <w:lang w:eastAsia="fr-FR"/>
            <w14:ligatures w14:val="standardContextual"/>
          </w:rPr>
          <w:tab/>
        </w:r>
        <w:r w:rsidRPr="00E70D19">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_Toc222244155 \h </w:instrText>
        </w:r>
        <w:r>
          <w:rPr>
            <w:noProof/>
            <w:webHidden/>
          </w:rPr>
        </w:r>
        <w:r>
          <w:rPr>
            <w:noProof/>
            <w:webHidden/>
          </w:rPr>
          <w:fldChar w:fldCharType="separate"/>
        </w:r>
        <w:r>
          <w:rPr>
            <w:noProof/>
            <w:webHidden/>
          </w:rPr>
          <w:t>10</w:t>
        </w:r>
        <w:r>
          <w:rPr>
            <w:noProof/>
            <w:webHidden/>
          </w:rPr>
          <w:fldChar w:fldCharType="end"/>
        </w:r>
      </w:hyperlink>
    </w:p>
    <w:p w14:paraId="3CA6F58A" w14:textId="0DE817C0"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56" w:history="1">
        <w:r w:rsidRPr="00E70D19">
          <w:rPr>
            <w:rStyle w:val="Lienhypertexte"/>
            <w:noProof/>
          </w:rPr>
          <w:t>Article 2.1-</w:t>
        </w:r>
        <w:r>
          <w:rPr>
            <w:rFonts w:eastAsiaTheme="minorEastAsia"/>
            <w:i w:val="0"/>
            <w:noProof/>
            <w:kern w:val="2"/>
            <w:sz w:val="24"/>
            <w:szCs w:val="24"/>
            <w:lang w:eastAsia="fr-FR"/>
            <w14:ligatures w14:val="standardContextual"/>
          </w:rPr>
          <w:tab/>
        </w:r>
        <w:r w:rsidRPr="00E70D19">
          <w:rPr>
            <w:rStyle w:val="Lienhypertexte"/>
            <w:noProof/>
          </w:rPr>
          <w:t>Objet de l’accord-cadre</w:t>
        </w:r>
        <w:r>
          <w:rPr>
            <w:noProof/>
            <w:webHidden/>
          </w:rPr>
          <w:tab/>
        </w:r>
        <w:r>
          <w:rPr>
            <w:noProof/>
            <w:webHidden/>
          </w:rPr>
          <w:fldChar w:fldCharType="begin"/>
        </w:r>
        <w:r>
          <w:rPr>
            <w:noProof/>
            <w:webHidden/>
          </w:rPr>
          <w:instrText xml:space="preserve"> PAGEREF _Toc222244156 \h </w:instrText>
        </w:r>
        <w:r>
          <w:rPr>
            <w:noProof/>
            <w:webHidden/>
          </w:rPr>
        </w:r>
        <w:r>
          <w:rPr>
            <w:noProof/>
            <w:webHidden/>
          </w:rPr>
          <w:fldChar w:fldCharType="separate"/>
        </w:r>
        <w:r>
          <w:rPr>
            <w:noProof/>
            <w:webHidden/>
          </w:rPr>
          <w:t>10</w:t>
        </w:r>
        <w:r>
          <w:rPr>
            <w:noProof/>
            <w:webHidden/>
          </w:rPr>
          <w:fldChar w:fldCharType="end"/>
        </w:r>
      </w:hyperlink>
    </w:p>
    <w:p w14:paraId="6C267304" w14:textId="10934CC0"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57" w:history="1">
        <w:r w:rsidRPr="00E70D19">
          <w:rPr>
            <w:rStyle w:val="Lienhypertexte"/>
            <w:noProof/>
          </w:rPr>
          <w:t>Article 2.2-</w:t>
        </w:r>
        <w:r>
          <w:rPr>
            <w:rFonts w:eastAsiaTheme="minorEastAsia"/>
            <w:i w:val="0"/>
            <w:noProof/>
            <w:kern w:val="2"/>
            <w:sz w:val="24"/>
            <w:szCs w:val="24"/>
            <w:lang w:eastAsia="fr-FR"/>
            <w14:ligatures w14:val="standardContextual"/>
          </w:rPr>
          <w:tab/>
        </w:r>
        <w:r w:rsidRPr="00E70D19">
          <w:rPr>
            <w:rStyle w:val="Lienhypertexte"/>
            <w:noProof/>
          </w:rPr>
          <w:t>Décomposition de l’accord-cadre</w:t>
        </w:r>
        <w:r>
          <w:rPr>
            <w:noProof/>
            <w:webHidden/>
          </w:rPr>
          <w:tab/>
        </w:r>
        <w:r>
          <w:rPr>
            <w:noProof/>
            <w:webHidden/>
          </w:rPr>
          <w:fldChar w:fldCharType="begin"/>
        </w:r>
        <w:r>
          <w:rPr>
            <w:noProof/>
            <w:webHidden/>
          </w:rPr>
          <w:instrText xml:space="preserve"> PAGEREF _Toc222244157 \h </w:instrText>
        </w:r>
        <w:r>
          <w:rPr>
            <w:noProof/>
            <w:webHidden/>
          </w:rPr>
        </w:r>
        <w:r>
          <w:rPr>
            <w:noProof/>
            <w:webHidden/>
          </w:rPr>
          <w:fldChar w:fldCharType="separate"/>
        </w:r>
        <w:r>
          <w:rPr>
            <w:noProof/>
            <w:webHidden/>
          </w:rPr>
          <w:t>10</w:t>
        </w:r>
        <w:r>
          <w:rPr>
            <w:noProof/>
            <w:webHidden/>
          </w:rPr>
          <w:fldChar w:fldCharType="end"/>
        </w:r>
      </w:hyperlink>
    </w:p>
    <w:p w14:paraId="1A175006" w14:textId="1A26A97E"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58" w:history="1">
        <w:r w:rsidRPr="00E70D19">
          <w:rPr>
            <w:rStyle w:val="Lienhypertexte"/>
            <w:noProof/>
          </w:rPr>
          <w:t>Article 2.3-</w:t>
        </w:r>
        <w:r>
          <w:rPr>
            <w:rFonts w:eastAsiaTheme="minorEastAsia"/>
            <w:i w:val="0"/>
            <w:noProof/>
            <w:kern w:val="2"/>
            <w:sz w:val="24"/>
            <w:szCs w:val="24"/>
            <w:lang w:eastAsia="fr-FR"/>
            <w14:ligatures w14:val="standardContextual"/>
          </w:rPr>
          <w:tab/>
        </w:r>
        <w:r w:rsidRPr="00E70D19">
          <w:rPr>
            <w:rStyle w:val="Lienhypertexte"/>
            <w:noProof/>
          </w:rPr>
          <w:t>Forme de l’accord-cadre</w:t>
        </w:r>
        <w:r>
          <w:rPr>
            <w:noProof/>
            <w:webHidden/>
          </w:rPr>
          <w:tab/>
        </w:r>
        <w:r>
          <w:rPr>
            <w:noProof/>
            <w:webHidden/>
          </w:rPr>
          <w:fldChar w:fldCharType="begin"/>
        </w:r>
        <w:r>
          <w:rPr>
            <w:noProof/>
            <w:webHidden/>
          </w:rPr>
          <w:instrText xml:space="preserve"> PAGEREF _Toc222244158 \h </w:instrText>
        </w:r>
        <w:r>
          <w:rPr>
            <w:noProof/>
            <w:webHidden/>
          </w:rPr>
        </w:r>
        <w:r>
          <w:rPr>
            <w:noProof/>
            <w:webHidden/>
          </w:rPr>
          <w:fldChar w:fldCharType="separate"/>
        </w:r>
        <w:r>
          <w:rPr>
            <w:noProof/>
            <w:webHidden/>
          </w:rPr>
          <w:t>10</w:t>
        </w:r>
        <w:r>
          <w:rPr>
            <w:noProof/>
            <w:webHidden/>
          </w:rPr>
          <w:fldChar w:fldCharType="end"/>
        </w:r>
      </w:hyperlink>
    </w:p>
    <w:p w14:paraId="0B65BB7E" w14:textId="50DB6EC4"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59" w:history="1">
        <w:r w:rsidRPr="00E70D19">
          <w:rPr>
            <w:rStyle w:val="Lienhypertexte"/>
            <w:noProof/>
          </w:rPr>
          <w:t>Article 2.4-</w:t>
        </w:r>
        <w:r>
          <w:rPr>
            <w:rFonts w:eastAsiaTheme="minorEastAsia"/>
            <w:i w:val="0"/>
            <w:noProof/>
            <w:kern w:val="2"/>
            <w:sz w:val="24"/>
            <w:szCs w:val="24"/>
            <w:lang w:eastAsia="fr-FR"/>
            <w14:ligatures w14:val="standardContextual"/>
          </w:rPr>
          <w:tab/>
        </w:r>
        <w:r w:rsidRPr="00E70D19">
          <w:rPr>
            <w:rStyle w:val="Lienhypertexte"/>
            <w:noProof/>
          </w:rPr>
          <w:t>Représentation du titulaire</w:t>
        </w:r>
        <w:r>
          <w:rPr>
            <w:noProof/>
            <w:webHidden/>
          </w:rPr>
          <w:tab/>
        </w:r>
        <w:r>
          <w:rPr>
            <w:noProof/>
            <w:webHidden/>
          </w:rPr>
          <w:fldChar w:fldCharType="begin"/>
        </w:r>
        <w:r>
          <w:rPr>
            <w:noProof/>
            <w:webHidden/>
          </w:rPr>
          <w:instrText xml:space="preserve"> PAGEREF _Toc222244159 \h </w:instrText>
        </w:r>
        <w:r>
          <w:rPr>
            <w:noProof/>
            <w:webHidden/>
          </w:rPr>
        </w:r>
        <w:r>
          <w:rPr>
            <w:noProof/>
            <w:webHidden/>
          </w:rPr>
          <w:fldChar w:fldCharType="separate"/>
        </w:r>
        <w:r>
          <w:rPr>
            <w:noProof/>
            <w:webHidden/>
          </w:rPr>
          <w:t>11</w:t>
        </w:r>
        <w:r>
          <w:rPr>
            <w:noProof/>
            <w:webHidden/>
          </w:rPr>
          <w:fldChar w:fldCharType="end"/>
        </w:r>
      </w:hyperlink>
    </w:p>
    <w:p w14:paraId="58D684EC" w14:textId="4BB991E9"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60" w:history="1">
        <w:r w:rsidRPr="00E70D19">
          <w:rPr>
            <w:rStyle w:val="Lienhypertexte"/>
            <w:noProof/>
          </w:rPr>
          <w:t>Article 2.5-</w:t>
        </w:r>
        <w:r>
          <w:rPr>
            <w:rFonts w:eastAsiaTheme="minorEastAsia"/>
            <w:i w:val="0"/>
            <w:noProof/>
            <w:kern w:val="2"/>
            <w:sz w:val="24"/>
            <w:szCs w:val="24"/>
            <w:lang w:eastAsia="fr-FR"/>
            <w14:ligatures w14:val="standardContextual"/>
          </w:rPr>
          <w:tab/>
        </w:r>
        <w:r w:rsidRPr="00E70D19">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_Toc222244160 \h </w:instrText>
        </w:r>
        <w:r>
          <w:rPr>
            <w:noProof/>
            <w:webHidden/>
          </w:rPr>
        </w:r>
        <w:r>
          <w:rPr>
            <w:noProof/>
            <w:webHidden/>
          </w:rPr>
          <w:fldChar w:fldCharType="separate"/>
        </w:r>
        <w:r>
          <w:rPr>
            <w:noProof/>
            <w:webHidden/>
          </w:rPr>
          <w:t>11</w:t>
        </w:r>
        <w:r>
          <w:rPr>
            <w:noProof/>
            <w:webHidden/>
          </w:rPr>
          <w:fldChar w:fldCharType="end"/>
        </w:r>
      </w:hyperlink>
    </w:p>
    <w:p w14:paraId="38B63BC2" w14:textId="41472266"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61" w:history="1">
        <w:r w:rsidRPr="00E70D19">
          <w:rPr>
            <w:rStyle w:val="Lienhypertexte"/>
            <w:noProof/>
          </w:rPr>
          <w:t>Article 2.6-</w:t>
        </w:r>
        <w:r>
          <w:rPr>
            <w:rFonts w:eastAsiaTheme="minorEastAsia"/>
            <w:i w:val="0"/>
            <w:noProof/>
            <w:kern w:val="2"/>
            <w:sz w:val="24"/>
            <w:szCs w:val="24"/>
            <w:lang w:eastAsia="fr-FR"/>
            <w14:ligatures w14:val="standardContextual"/>
          </w:rPr>
          <w:tab/>
        </w:r>
        <w:r w:rsidRPr="00E70D19">
          <w:rPr>
            <w:rStyle w:val="Lienhypertexte"/>
            <w:noProof/>
          </w:rPr>
          <w:t>Notification des modifications portant sur la situation juridique ou économique du titulaire</w:t>
        </w:r>
        <w:r>
          <w:rPr>
            <w:rStyle w:val="Lienhypertexte"/>
            <w:noProof/>
          </w:rPr>
          <w:tab/>
        </w:r>
        <w:r>
          <w:rPr>
            <w:noProof/>
            <w:webHidden/>
          </w:rPr>
          <w:tab/>
        </w:r>
        <w:r>
          <w:rPr>
            <w:noProof/>
            <w:webHidden/>
          </w:rPr>
          <w:fldChar w:fldCharType="begin"/>
        </w:r>
        <w:r>
          <w:rPr>
            <w:noProof/>
            <w:webHidden/>
          </w:rPr>
          <w:instrText xml:space="preserve"> PAGEREF _Toc222244161 \h </w:instrText>
        </w:r>
        <w:r>
          <w:rPr>
            <w:noProof/>
            <w:webHidden/>
          </w:rPr>
        </w:r>
        <w:r>
          <w:rPr>
            <w:noProof/>
            <w:webHidden/>
          </w:rPr>
          <w:fldChar w:fldCharType="separate"/>
        </w:r>
        <w:r>
          <w:rPr>
            <w:noProof/>
            <w:webHidden/>
          </w:rPr>
          <w:t>12</w:t>
        </w:r>
        <w:r>
          <w:rPr>
            <w:noProof/>
            <w:webHidden/>
          </w:rPr>
          <w:fldChar w:fldCharType="end"/>
        </w:r>
      </w:hyperlink>
    </w:p>
    <w:p w14:paraId="421F5C24" w14:textId="143FF36E"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62" w:history="1">
        <w:r w:rsidRPr="00E70D19">
          <w:rPr>
            <w:rStyle w:val="Lienhypertexte"/>
            <w:noProof/>
          </w:rPr>
          <w:t>Article 2.7-</w:t>
        </w:r>
        <w:r>
          <w:rPr>
            <w:rFonts w:eastAsiaTheme="minorEastAsia"/>
            <w:i w:val="0"/>
            <w:noProof/>
            <w:kern w:val="2"/>
            <w:sz w:val="24"/>
            <w:szCs w:val="24"/>
            <w:lang w:eastAsia="fr-FR"/>
            <w14:ligatures w14:val="standardContextual"/>
          </w:rPr>
          <w:tab/>
        </w:r>
        <w:r w:rsidRPr="00E70D19">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_Toc222244162 \h </w:instrText>
        </w:r>
        <w:r>
          <w:rPr>
            <w:noProof/>
            <w:webHidden/>
          </w:rPr>
        </w:r>
        <w:r>
          <w:rPr>
            <w:noProof/>
            <w:webHidden/>
          </w:rPr>
          <w:fldChar w:fldCharType="separate"/>
        </w:r>
        <w:r>
          <w:rPr>
            <w:noProof/>
            <w:webHidden/>
          </w:rPr>
          <w:t>12</w:t>
        </w:r>
        <w:r>
          <w:rPr>
            <w:noProof/>
            <w:webHidden/>
          </w:rPr>
          <w:fldChar w:fldCharType="end"/>
        </w:r>
      </w:hyperlink>
    </w:p>
    <w:p w14:paraId="481EA2AD" w14:textId="35E39A9E"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63" w:history="1">
        <w:r w:rsidRPr="00E70D19">
          <w:rPr>
            <w:rStyle w:val="Lienhypertexte"/>
            <w:noProof/>
          </w:rPr>
          <w:t>Article 2.8-</w:t>
        </w:r>
        <w:r>
          <w:rPr>
            <w:rFonts w:eastAsiaTheme="minorEastAsia"/>
            <w:i w:val="0"/>
            <w:noProof/>
            <w:kern w:val="2"/>
            <w:sz w:val="24"/>
            <w:szCs w:val="24"/>
            <w:lang w:eastAsia="fr-FR"/>
            <w14:ligatures w14:val="standardContextual"/>
          </w:rPr>
          <w:tab/>
        </w:r>
        <w:r w:rsidRPr="00E70D19">
          <w:rPr>
            <w:rStyle w:val="Lienhypertexte"/>
            <w:noProof/>
          </w:rPr>
          <w:t>Ordre de service</w:t>
        </w:r>
        <w:r>
          <w:rPr>
            <w:noProof/>
            <w:webHidden/>
          </w:rPr>
          <w:tab/>
        </w:r>
        <w:r>
          <w:rPr>
            <w:noProof/>
            <w:webHidden/>
          </w:rPr>
          <w:fldChar w:fldCharType="begin"/>
        </w:r>
        <w:r>
          <w:rPr>
            <w:noProof/>
            <w:webHidden/>
          </w:rPr>
          <w:instrText xml:space="preserve"> PAGEREF _Toc222244163 \h </w:instrText>
        </w:r>
        <w:r>
          <w:rPr>
            <w:noProof/>
            <w:webHidden/>
          </w:rPr>
        </w:r>
        <w:r>
          <w:rPr>
            <w:noProof/>
            <w:webHidden/>
          </w:rPr>
          <w:fldChar w:fldCharType="separate"/>
        </w:r>
        <w:r>
          <w:rPr>
            <w:noProof/>
            <w:webHidden/>
          </w:rPr>
          <w:t>13</w:t>
        </w:r>
        <w:r>
          <w:rPr>
            <w:noProof/>
            <w:webHidden/>
          </w:rPr>
          <w:fldChar w:fldCharType="end"/>
        </w:r>
      </w:hyperlink>
    </w:p>
    <w:p w14:paraId="5A539944" w14:textId="1DA91A6D"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64" w:history="1">
        <w:r w:rsidRPr="00E70D19">
          <w:rPr>
            <w:rStyle w:val="Lienhypertexte"/>
            <w:noProof/>
          </w:rPr>
          <w:t>Article 2.9-</w:t>
        </w:r>
        <w:r>
          <w:rPr>
            <w:rFonts w:eastAsiaTheme="minorEastAsia"/>
            <w:i w:val="0"/>
            <w:noProof/>
            <w:kern w:val="2"/>
            <w:sz w:val="24"/>
            <w:szCs w:val="24"/>
            <w:lang w:eastAsia="fr-FR"/>
            <w14:ligatures w14:val="standardContextual"/>
          </w:rPr>
          <w:tab/>
        </w:r>
        <w:r w:rsidRPr="00E70D19">
          <w:rPr>
            <w:rStyle w:val="Lienhypertexte"/>
            <w:noProof/>
          </w:rPr>
          <w:t>Réglementation applicable</w:t>
        </w:r>
        <w:r>
          <w:rPr>
            <w:noProof/>
            <w:webHidden/>
          </w:rPr>
          <w:tab/>
        </w:r>
        <w:r>
          <w:rPr>
            <w:noProof/>
            <w:webHidden/>
          </w:rPr>
          <w:fldChar w:fldCharType="begin"/>
        </w:r>
        <w:r>
          <w:rPr>
            <w:noProof/>
            <w:webHidden/>
          </w:rPr>
          <w:instrText xml:space="preserve"> PAGEREF _Toc222244164 \h </w:instrText>
        </w:r>
        <w:r>
          <w:rPr>
            <w:noProof/>
            <w:webHidden/>
          </w:rPr>
        </w:r>
        <w:r>
          <w:rPr>
            <w:noProof/>
            <w:webHidden/>
          </w:rPr>
          <w:fldChar w:fldCharType="separate"/>
        </w:r>
        <w:r>
          <w:rPr>
            <w:noProof/>
            <w:webHidden/>
          </w:rPr>
          <w:t>13</w:t>
        </w:r>
        <w:r>
          <w:rPr>
            <w:noProof/>
            <w:webHidden/>
          </w:rPr>
          <w:fldChar w:fldCharType="end"/>
        </w:r>
      </w:hyperlink>
    </w:p>
    <w:p w14:paraId="542BBE69" w14:textId="4EEBB6EA"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65" w:history="1">
        <w:r w:rsidRPr="00E70D19">
          <w:rPr>
            <w:rStyle w:val="Lienhypertexte"/>
            <w:noProof/>
          </w:rPr>
          <w:t>Article 2.10-</w:t>
        </w:r>
        <w:r>
          <w:rPr>
            <w:rFonts w:eastAsiaTheme="minorEastAsia"/>
            <w:i w:val="0"/>
            <w:noProof/>
            <w:kern w:val="2"/>
            <w:sz w:val="24"/>
            <w:szCs w:val="24"/>
            <w:lang w:eastAsia="fr-FR"/>
            <w14:ligatures w14:val="standardContextual"/>
          </w:rPr>
          <w:tab/>
        </w:r>
        <w:r w:rsidRPr="00E70D19">
          <w:rPr>
            <w:rStyle w:val="Lienhypertexte"/>
            <w:noProof/>
          </w:rPr>
          <w:t>Sous-traitance</w:t>
        </w:r>
        <w:r>
          <w:rPr>
            <w:noProof/>
            <w:webHidden/>
          </w:rPr>
          <w:tab/>
        </w:r>
        <w:r>
          <w:rPr>
            <w:noProof/>
            <w:webHidden/>
          </w:rPr>
          <w:fldChar w:fldCharType="begin"/>
        </w:r>
        <w:r>
          <w:rPr>
            <w:noProof/>
            <w:webHidden/>
          </w:rPr>
          <w:instrText xml:space="preserve"> PAGEREF _Toc222244165 \h </w:instrText>
        </w:r>
        <w:r>
          <w:rPr>
            <w:noProof/>
            <w:webHidden/>
          </w:rPr>
        </w:r>
        <w:r>
          <w:rPr>
            <w:noProof/>
            <w:webHidden/>
          </w:rPr>
          <w:fldChar w:fldCharType="separate"/>
        </w:r>
        <w:r>
          <w:rPr>
            <w:noProof/>
            <w:webHidden/>
          </w:rPr>
          <w:t>13</w:t>
        </w:r>
        <w:r>
          <w:rPr>
            <w:noProof/>
            <w:webHidden/>
          </w:rPr>
          <w:fldChar w:fldCharType="end"/>
        </w:r>
      </w:hyperlink>
    </w:p>
    <w:p w14:paraId="2D34B3E3" w14:textId="5FEC310D"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66" w:history="1">
        <w:r w:rsidRPr="00E70D19">
          <w:rPr>
            <w:rStyle w:val="Lienhypertexte"/>
            <w:noProof/>
          </w:rPr>
          <w:t>Article 2.11-</w:t>
        </w:r>
        <w:r>
          <w:rPr>
            <w:rFonts w:eastAsiaTheme="minorEastAsia"/>
            <w:i w:val="0"/>
            <w:noProof/>
            <w:kern w:val="2"/>
            <w:sz w:val="24"/>
            <w:szCs w:val="24"/>
            <w:lang w:eastAsia="fr-FR"/>
            <w14:ligatures w14:val="standardContextual"/>
          </w:rPr>
          <w:tab/>
        </w:r>
        <w:r w:rsidRPr="00E70D19">
          <w:rPr>
            <w:rStyle w:val="Lienhypertexte"/>
            <w:noProof/>
          </w:rPr>
          <w:t>Réalisation de prestations similaires</w:t>
        </w:r>
        <w:r>
          <w:rPr>
            <w:noProof/>
            <w:webHidden/>
          </w:rPr>
          <w:tab/>
        </w:r>
        <w:r>
          <w:rPr>
            <w:noProof/>
            <w:webHidden/>
          </w:rPr>
          <w:fldChar w:fldCharType="begin"/>
        </w:r>
        <w:r>
          <w:rPr>
            <w:noProof/>
            <w:webHidden/>
          </w:rPr>
          <w:instrText xml:space="preserve"> PAGEREF _Toc222244166 \h </w:instrText>
        </w:r>
        <w:r>
          <w:rPr>
            <w:noProof/>
            <w:webHidden/>
          </w:rPr>
        </w:r>
        <w:r>
          <w:rPr>
            <w:noProof/>
            <w:webHidden/>
          </w:rPr>
          <w:fldChar w:fldCharType="separate"/>
        </w:r>
        <w:r>
          <w:rPr>
            <w:noProof/>
            <w:webHidden/>
          </w:rPr>
          <w:t>14</w:t>
        </w:r>
        <w:r>
          <w:rPr>
            <w:noProof/>
            <w:webHidden/>
          </w:rPr>
          <w:fldChar w:fldCharType="end"/>
        </w:r>
      </w:hyperlink>
    </w:p>
    <w:p w14:paraId="59E5DAF6" w14:textId="661B84ED" w:rsidR="00DB091B" w:rsidRDefault="00DB091B">
      <w:pPr>
        <w:pStyle w:val="TM1"/>
        <w:rPr>
          <w:rFonts w:eastAsiaTheme="minorEastAsia"/>
          <w:b w:val="0"/>
          <w:noProof/>
          <w:kern w:val="2"/>
          <w:sz w:val="24"/>
          <w:szCs w:val="24"/>
          <w:lang w:eastAsia="fr-FR"/>
          <w14:ligatures w14:val="standardContextual"/>
        </w:rPr>
      </w:pPr>
      <w:hyperlink w:anchor="_Toc222244167" w:history="1">
        <w:r w:rsidRPr="00E70D19">
          <w:rPr>
            <w:rStyle w:val="Lienhypertexte"/>
            <w:noProof/>
          </w:rPr>
          <w:t>ARTICLE 3-</w:t>
        </w:r>
        <w:r>
          <w:rPr>
            <w:rFonts w:eastAsiaTheme="minorEastAsia"/>
            <w:b w:val="0"/>
            <w:noProof/>
            <w:kern w:val="2"/>
            <w:sz w:val="24"/>
            <w:szCs w:val="24"/>
            <w:lang w:eastAsia="fr-FR"/>
            <w14:ligatures w14:val="standardContextual"/>
          </w:rPr>
          <w:tab/>
        </w:r>
        <w:r w:rsidRPr="00E70D19">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_Toc222244167 \h </w:instrText>
        </w:r>
        <w:r>
          <w:rPr>
            <w:noProof/>
            <w:webHidden/>
          </w:rPr>
        </w:r>
        <w:r>
          <w:rPr>
            <w:noProof/>
            <w:webHidden/>
          </w:rPr>
          <w:fldChar w:fldCharType="separate"/>
        </w:r>
        <w:r>
          <w:rPr>
            <w:noProof/>
            <w:webHidden/>
          </w:rPr>
          <w:t>14</w:t>
        </w:r>
        <w:r>
          <w:rPr>
            <w:noProof/>
            <w:webHidden/>
          </w:rPr>
          <w:fldChar w:fldCharType="end"/>
        </w:r>
      </w:hyperlink>
    </w:p>
    <w:p w14:paraId="620E04DA" w14:textId="221DC72D"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68" w:history="1">
        <w:r w:rsidRPr="00E70D19">
          <w:rPr>
            <w:rStyle w:val="Lienhypertexte"/>
            <w:noProof/>
          </w:rPr>
          <w:t>Article 3.1-</w:t>
        </w:r>
        <w:r>
          <w:rPr>
            <w:rFonts w:eastAsiaTheme="minorEastAsia"/>
            <w:i w:val="0"/>
            <w:noProof/>
            <w:kern w:val="2"/>
            <w:sz w:val="24"/>
            <w:szCs w:val="24"/>
            <w:lang w:eastAsia="fr-FR"/>
            <w14:ligatures w14:val="standardContextual"/>
          </w:rPr>
          <w:tab/>
        </w:r>
        <w:r w:rsidRPr="00E70D19">
          <w:rPr>
            <w:rStyle w:val="Lienhypertexte"/>
            <w:noProof/>
          </w:rPr>
          <w:t>Durée de l’accord-cadre</w:t>
        </w:r>
        <w:r>
          <w:rPr>
            <w:noProof/>
            <w:webHidden/>
          </w:rPr>
          <w:tab/>
        </w:r>
        <w:r>
          <w:rPr>
            <w:noProof/>
            <w:webHidden/>
          </w:rPr>
          <w:fldChar w:fldCharType="begin"/>
        </w:r>
        <w:r>
          <w:rPr>
            <w:noProof/>
            <w:webHidden/>
          </w:rPr>
          <w:instrText xml:space="preserve"> PAGEREF _Toc222244168 \h </w:instrText>
        </w:r>
        <w:r>
          <w:rPr>
            <w:noProof/>
            <w:webHidden/>
          </w:rPr>
        </w:r>
        <w:r>
          <w:rPr>
            <w:noProof/>
            <w:webHidden/>
          </w:rPr>
          <w:fldChar w:fldCharType="separate"/>
        </w:r>
        <w:r>
          <w:rPr>
            <w:noProof/>
            <w:webHidden/>
          </w:rPr>
          <w:t>14</w:t>
        </w:r>
        <w:r>
          <w:rPr>
            <w:noProof/>
            <w:webHidden/>
          </w:rPr>
          <w:fldChar w:fldCharType="end"/>
        </w:r>
      </w:hyperlink>
    </w:p>
    <w:p w14:paraId="4EDD1834" w14:textId="12741AA5"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69" w:history="1">
        <w:r w:rsidRPr="00E70D19">
          <w:rPr>
            <w:rStyle w:val="Lienhypertexte"/>
            <w:noProof/>
          </w:rPr>
          <w:t>Article 3.2-</w:t>
        </w:r>
        <w:r>
          <w:rPr>
            <w:rFonts w:eastAsiaTheme="minorEastAsia"/>
            <w:i w:val="0"/>
            <w:noProof/>
            <w:kern w:val="2"/>
            <w:sz w:val="24"/>
            <w:szCs w:val="24"/>
            <w:lang w:eastAsia="fr-FR"/>
            <w14:ligatures w14:val="standardContextual"/>
          </w:rPr>
          <w:tab/>
        </w:r>
        <w:r w:rsidRPr="00E70D19">
          <w:rPr>
            <w:rStyle w:val="Lienhypertexte"/>
            <w:noProof/>
          </w:rPr>
          <w:t>Reconduction</w:t>
        </w:r>
        <w:r>
          <w:rPr>
            <w:noProof/>
            <w:webHidden/>
          </w:rPr>
          <w:tab/>
        </w:r>
        <w:r>
          <w:rPr>
            <w:noProof/>
            <w:webHidden/>
          </w:rPr>
          <w:fldChar w:fldCharType="begin"/>
        </w:r>
        <w:r>
          <w:rPr>
            <w:noProof/>
            <w:webHidden/>
          </w:rPr>
          <w:instrText xml:space="preserve"> PAGEREF _Toc222244169 \h </w:instrText>
        </w:r>
        <w:r>
          <w:rPr>
            <w:noProof/>
            <w:webHidden/>
          </w:rPr>
        </w:r>
        <w:r>
          <w:rPr>
            <w:noProof/>
            <w:webHidden/>
          </w:rPr>
          <w:fldChar w:fldCharType="separate"/>
        </w:r>
        <w:r>
          <w:rPr>
            <w:noProof/>
            <w:webHidden/>
          </w:rPr>
          <w:t>14</w:t>
        </w:r>
        <w:r>
          <w:rPr>
            <w:noProof/>
            <w:webHidden/>
          </w:rPr>
          <w:fldChar w:fldCharType="end"/>
        </w:r>
      </w:hyperlink>
    </w:p>
    <w:p w14:paraId="12F66A25" w14:textId="60FF7061"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70" w:history="1">
        <w:r w:rsidRPr="00E70D19">
          <w:rPr>
            <w:rStyle w:val="Lienhypertexte"/>
            <w:noProof/>
          </w:rPr>
          <w:t>Article 3.3-</w:t>
        </w:r>
        <w:r>
          <w:rPr>
            <w:rFonts w:eastAsiaTheme="minorEastAsia"/>
            <w:i w:val="0"/>
            <w:noProof/>
            <w:kern w:val="2"/>
            <w:sz w:val="24"/>
            <w:szCs w:val="24"/>
            <w:lang w:eastAsia="fr-FR"/>
            <w14:ligatures w14:val="standardContextual"/>
          </w:rPr>
          <w:tab/>
        </w:r>
        <w:r w:rsidRPr="00E70D19">
          <w:rPr>
            <w:rStyle w:val="Lienhypertexte"/>
            <w:noProof/>
          </w:rPr>
          <w:t>Durée des marchés subséquents et bons de commande conclus sur la base de l’accord-cadre</w:t>
        </w:r>
        <w:r>
          <w:rPr>
            <w:rStyle w:val="Lienhypertexte"/>
            <w:noProof/>
          </w:rPr>
          <w:tab/>
        </w:r>
        <w:r>
          <w:rPr>
            <w:noProof/>
            <w:webHidden/>
          </w:rPr>
          <w:tab/>
        </w:r>
        <w:r>
          <w:rPr>
            <w:noProof/>
            <w:webHidden/>
          </w:rPr>
          <w:fldChar w:fldCharType="begin"/>
        </w:r>
        <w:r>
          <w:rPr>
            <w:noProof/>
            <w:webHidden/>
          </w:rPr>
          <w:instrText xml:space="preserve"> PAGEREF _Toc222244170 \h </w:instrText>
        </w:r>
        <w:r>
          <w:rPr>
            <w:noProof/>
            <w:webHidden/>
          </w:rPr>
        </w:r>
        <w:r>
          <w:rPr>
            <w:noProof/>
            <w:webHidden/>
          </w:rPr>
          <w:fldChar w:fldCharType="separate"/>
        </w:r>
        <w:r>
          <w:rPr>
            <w:noProof/>
            <w:webHidden/>
          </w:rPr>
          <w:t>14</w:t>
        </w:r>
        <w:r>
          <w:rPr>
            <w:noProof/>
            <w:webHidden/>
          </w:rPr>
          <w:fldChar w:fldCharType="end"/>
        </w:r>
      </w:hyperlink>
    </w:p>
    <w:p w14:paraId="1252CC76" w14:textId="40736E55" w:rsidR="00DB091B" w:rsidRDefault="00DB091B">
      <w:pPr>
        <w:pStyle w:val="TM1"/>
        <w:rPr>
          <w:rFonts w:eastAsiaTheme="minorEastAsia"/>
          <w:b w:val="0"/>
          <w:noProof/>
          <w:kern w:val="2"/>
          <w:sz w:val="24"/>
          <w:szCs w:val="24"/>
          <w:lang w:eastAsia="fr-FR"/>
          <w14:ligatures w14:val="standardContextual"/>
        </w:rPr>
      </w:pPr>
      <w:hyperlink w:anchor="_Toc222244171" w:history="1">
        <w:r w:rsidRPr="00E70D19">
          <w:rPr>
            <w:rStyle w:val="Lienhypertexte"/>
            <w:noProof/>
          </w:rPr>
          <w:t>ARTICLE 4-</w:t>
        </w:r>
        <w:r>
          <w:rPr>
            <w:rFonts w:eastAsiaTheme="minorEastAsia"/>
            <w:b w:val="0"/>
            <w:noProof/>
            <w:kern w:val="2"/>
            <w:sz w:val="24"/>
            <w:szCs w:val="24"/>
            <w:lang w:eastAsia="fr-FR"/>
            <w14:ligatures w14:val="standardContextual"/>
          </w:rPr>
          <w:tab/>
        </w:r>
        <w:r w:rsidRPr="00E70D19">
          <w:rPr>
            <w:rStyle w:val="Lienhypertexte"/>
            <w:noProof/>
          </w:rPr>
          <w:t>Passation marchés subséquents</w:t>
        </w:r>
        <w:r>
          <w:rPr>
            <w:noProof/>
            <w:webHidden/>
          </w:rPr>
          <w:tab/>
        </w:r>
        <w:r>
          <w:rPr>
            <w:noProof/>
            <w:webHidden/>
          </w:rPr>
          <w:fldChar w:fldCharType="begin"/>
        </w:r>
        <w:r>
          <w:rPr>
            <w:noProof/>
            <w:webHidden/>
          </w:rPr>
          <w:instrText xml:space="preserve"> PAGEREF _Toc222244171 \h </w:instrText>
        </w:r>
        <w:r>
          <w:rPr>
            <w:noProof/>
            <w:webHidden/>
          </w:rPr>
        </w:r>
        <w:r>
          <w:rPr>
            <w:noProof/>
            <w:webHidden/>
          </w:rPr>
          <w:fldChar w:fldCharType="separate"/>
        </w:r>
        <w:r>
          <w:rPr>
            <w:noProof/>
            <w:webHidden/>
          </w:rPr>
          <w:t>14</w:t>
        </w:r>
        <w:r>
          <w:rPr>
            <w:noProof/>
            <w:webHidden/>
          </w:rPr>
          <w:fldChar w:fldCharType="end"/>
        </w:r>
      </w:hyperlink>
    </w:p>
    <w:p w14:paraId="0D7A7521" w14:textId="22FCD2A0"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72" w:history="1">
        <w:r w:rsidRPr="00E70D19">
          <w:rPr>
            <w:rStyle w:val="Lienhypertexte"/>
            <w:noProof/>
          </w:rPr>
          <w:t>Article 4.1-</w:t>
        </w:r>
        <w:r>
          <w:rPr>
            <w:rFonts w:eastAsiaTheme="minorEastAsia"/>
            <w:i w:val="0"/>
            <w:noProof/>
            <w:kern w:val="2"/>
            <w:sz w:val="24"/>
            <w:szCs w:val="24"/>
            <w:lang w:eastAsia="fr-FR"/>
            <w14:ligatures w14:val="standardContextual"/>
          </w:rPr>
          <w:tab/>
        </w:r>
        <w:r w:rsidRPr="00E70D19">
          <w:rPr>
            <w:rStyle w:val="Lienhypertexte"/>
            <w:noProof/>
          </w:rPr>
          <w:t>Généralités</w:t>
        </w:r>
        <w:r>
          <w:rPr>
            <w:noProof/>
            <w:webHidden/>
          </w:rPr>
          <w:tab/>
        </w:r>
        <w:r>
          <w:rPr>
            <w:noProof/>
            <w:webHidden/>
          </w:rPr>
          <w:fldChar w:fldCharType="begin"/>
        </w:r>
        <w:r>
          <w:rPr>
            <w:noProof/>
            <w:webHidden/>
          </w:rPr>
          <w:instrText xml:space="preserve"> PAGEREF _Toc222244172 \h </w:instrText>
        </w:r>
        <w:r>
          <w:rPr>
            <w:noProof/>
            <w:webHidden/>
          </w:rPr>
        </w:r>
        <w:r>
          <w:rPr>
            <w:noProof/>
            <w:webHidden/>
          </w:rPr>
          <w:fldChar w:fldCharType="separate"/>
        </w:r>
        <w:r>
          <w:rPr>
            <w:noProof/>
            <w:webHidden/>
          </w:rPr>
          <w:t>14</w:t>
        </w:r>
        <w:r>
          <w:rPr>
            <w:noProof/>
            <w:webHidden/>
          </w:rPr>
          <w:fldChar w:fldCharType="end"/>
        </w:r>
      </w:hyperlink>
    </w:p>
    <w:p w14:paraId="2DEC378D" w14:textId="36D7DECF"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73" w:history="1">
        <w:r w:rsidRPr="00E70D19">
          <w:rPr>
            <w:rStyle w:val="Lienhypertexte"/>
            <w:noProof/>
          </w:rPr>
          <w:t>Article 4.2-</w:t>
        </w:r>
        <w:r>
          <w:rPr>
            <w:rFonts w:eastAsiaTheme="minorEastAsia"/>
            <w:i w:val="0"/>
            <w:noProof/>
            <w:kern w:val="2"/>
            <w:sz w:val="24"/>
            <w:szCs w:val="24"/>
            <w:lang w:eastAsia="fr-FR"/>
            <w14:ligatures w14:val="standardContextual"/>
          </w:rPr>
          <w:tab/>
        </w:r>
        <w:r w:rsidRPr="00E70D19">
          <w:rPr>
            <w:rStyle w:val="Lienhypertexte"/>
            <w:noProof/>
          </w:rPr>
          <w:t>Documents de remise en concurrence du titulaire de l’accord-cadre</w:t>
        </w:r>
        <w:r>
          <w:rPr>
            <w:noProof/>
            <w:webHidden/>
          </w:rPr>
          <w:tab/>
        </w:r>
        <w:r>
          <w:rPr>
            <w:noProof/>
            <w:webHidden/>
          </w:rPr>
          <w:fldChar w:fldCharType="begin"/>
        </w:r>
        <w:r>
          <w:rPr>
            <w:noProof/>
            <w:webHidden/>
          </w:rPr>
          <w:instrText xml:space="preserve"> PAGEREF _Toc222244173 \h </w:instrText>
        </w:r>
        <w:r>
          <w:rPr>
            <w:noProof/>
            <w:webHidden/>
          </w:rPr>
        </w:r>
        <w:r>
          <w:rPr>
            <w:noProof/>
            <w:webHidden/>
          </w:rPr>
          <w:fldChar w:fldCharType="separate"/>
        </w:r>
        <w:r>
          <w:rPr>
            <w:noProof/>
            <w:webHidden/>
          </w:rPr>
          <w:t>15</w:t>
        </w:r>
        <w:r>
          <w:rPr>
            <w:noProof/>
            <w:webHidden/>
          </w:rPr>
          <w:fldChar w:fldCharType="end"/>
        </w:r>
      </w:hyperlink>
    </w:p>
    <w:p w14:paraId="5A1BD76A" w14:textId="0A84C473"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74" w:history="1">
        <w:r w:rsidRPr="00E70D19">
          <w:rPr>
            <w:rStyle w:val="Lienhypertexte"/>
            <w:rFonts w:eastAsia="Times New Roman" w:cs="Arial"/>
            <w:b/>
            <w:noProof/>
            <w:lang w:eastAsia="fr-FR"/>
          </w:rPr>
          <w:t>Article 4.3-</w:t>
        </w:r>
        <w:r>
          <w:rPr>
            <w:rFonts w:eastAsiaTheme="minorEastAsia"/>
            <w:i w:val="0"/>
            <w:noProof/>
            <w:kern w:val="2"/>
            <w:sz w:val="24"/>
            <w:szCs w:val="24"/>
            <w:lang w:eastAsia="fr-FR"/>
            <w14:ligatures w14:val="standardContextual"/>
          </w:rPr>
          <w:tab/>
        </w:r>
        <w:r w:rsidRPr="00E70D19">
          <w:rPr>
            <w:rStyle w:val="Lienhypertexte"/>
            <w:rFonts w:eastAsia="Times New Roman" w:cs="Arial"/>
            <w:b/>
            <w:noProof/>
            <w:lang w:eastAsia="fr-FR"/>
          </w:rPr>
          <w:t>Obligations du titulaire dans le cadre des marchés subséquents</w:t>
        </w:r>
        <w:r>
          <w:rPr>
            <w:noProof/>
            <w:webHidden/>
          </w:rPr>
          <w:tab/>
        </w:r>
        <w:r>
          <w:rPr>
            <w:noProof/>
            <w:webHidden/>
          </w:rPr>
          <w:fldChar w:fldCharType="begin"/>
        </w:r>
        <w:r>
          <w:rPr>
            <w:noProof/>
            <w:webHidden/>
          </w:rPr>
          <w:instrText xml:space="preserve"> PAGEREF _Toc222244174 \h </w:instrText>
        </w:r>
        <w:r>
          <w:rPr>
            <w:noProof/>
            <w:webHidden/>
          </w:rPr>
        </w:r>
        <w:r>
          <w:rPr>
            <w:noProof/>
            <w:webHidden/>
          </w:rPr>
          <w:fldChar w:fldCharType="separate"/>
        </w:r>
        <w:r>
          <w:rPr>
            <w:noProof/>
            <w:webHidden/>
          </w:rPr>
          <w:t>15</w:t>
        </w:r>
        <w:r>
          <w:rPr>
            <w:noProof/>
            <w:webHidden/>
          </w:rPr>
          <w:fldChar w:fldCharType="end"/>
        </w:r>
      </w:hyperlink>
    </w:p>
    <w:p w14:paraId="7923EA60" w14:textId="42872476"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75" w:history="1">
        <w:r w:rsidRPr="00E70D19">
          <w:rPr>
            <w:rStyle w:val="Lienhypertexte"/>
            <w:rFonts w:eastAsia="Times New Roman" w:cs="Arial"/>
            <w:b/>
            <w:noProof/>
            <w:lang w:eastAsia="fr-FR"/>
          </w:rPr>
          <w:t>Article 4.4-</w:t>
        </w:r>
        <w:r>
          <w:rPr>
            <w:rFonts w:eastAsiaTheme="minorEastAsia"/>
            <w:i w:val="0"/>
            <w:noProof/>
            <w:kern w:val="2"/>
            <w:sz w:val="24"/>
            <w:szCs w:val="24"/>
            <w:lang w:eastAsia="fr-FR"/>
            <w14:ligatures w14:val="standardContextual"/>
          </w:rPr>
          <w:tab/>
        </w:r>
        <w:r w:rsidRPr="00E70D19">
          <w:rPr>
            <w:rStyle w:val="Lienhypertexte"/>
            <w:rFonts w:eastAsia="Times New Roman" w:cs="Arial"/>
            <w:b/>
            <w:noProof/>
            <w:lang w:eastAsia="fr-FR"/>
          </w:rPr>
          <w:t>Sanctions du non-respect de l’engagement de réponses aux marchés subséquents</w:t>
        </w:r>
        <w:r>
          <w:rPr>
            <w:rStyle w:val="Lienhypertexte"/>
            <w:rFonts w:eastAsia="Times New Roman" w:cs="Arial"/>
            <w:b/>
            <w:noProof/>
            <w:lang w:eastAsia="fr-FR"/>
          </w:rPr>
          <w:tab/>
        </w:r>
        <w:r>
          <w:rPr>
            <w:noProof/>
            <w:webHidden/>
          </w:rPr>
          <w:tab/>
        </w:r>
        <w:r>
          <w:rPr>
            <w:noProof/>
            <w:webHidden/>
          </w:rPr>
          <w:fldChar w:fldCharType="begin"/>
        </w:r>
        <w:r>
          <w:rPr>
            <w:noProof/>
            <w:webHidden/>
          </w:rPr>
          <w:instrText xml:space="preserve"> PAGEREF _Toc222244175 \h </w:instrText>
        </w:r>
        <w:r>
          <w:rPr>
            <w:noProof/>
            <w:webHidden/>
          </w:rPr>
        </w:r>
        <w:r>
          <w:rPr>
            <w:noProof/>
            <w:webHidden/>
          </w:rPr>
          <w:fldChar w:fldCharType="separate"/>
        </w:r>
        <w:r>
          <w:rPr>
            <w:noProof/>
            <w:webHidden/>
          </w:rPr>
          <w:t>15</w:t>
        </w:r>
        <w:r>
          <w:rPr>
            <w:noProof/>
            <w:webHidden/>
          </w:rPr>
          <w:fldChar w:fldCharType="end"/>
        </w:r>
      </w:hyperlink>
    </w:p>
    <w:p w14:paraId="71E36227" w14:textId="4B907809" w:rsidR="00DB091B" w:rsidRDefault="00DB091B">
      <w:pPr>
        <w:pStyle w:val="TM1"/>
        <w:rPr>
          <w:rFonts w:eastAsiaTheme="minorEastAsia"/>
          <w:b w:val="0"/>
          <w:noProof/>
          <w:kern w:val="2"/>
          <w:sz w:val="24"/>
          <w:szCs w:val="24"/>
          <w:lang w:eastAsia="fr-FR"/>
          <w14:ligatures w14:val="standardContextual"/>
        </w:rPr>
      </w:pPr>
      <w:hyperlink w:anchor="_Toc222244176" w:history="1">
        <w:r w:rsidRPr="00E70D19">
          <w:rPr>
            <w:rStyle w:val="Lienhypertexte"/>
            <w:noProof/>
          </w:rPr>
          <w:t>ARTICLE 5-</w:t>
        </w:r>
        <w:r>
          <w:rPr>
            <w:rFonts w:eastAsiaTheme="minorEastAsia"/>
            <w:b w:val="0"/>
            <w:noProof/>
            <w:kern w:val="2"/>
            <w:sz w:val="24"/>
            <w:szCs w:val="24"/>
            <w:lang w:eastAsia="fr-FR"/>
            <w14:ligatures w14:val="standardContextual"/>
          </w:rPr>
          <w:tab/>
        </w:r>
        <w:r w:rsidRPr="00E70D19">
          <w:rPr>
            <w:rStyle w:val="Lienhypertexte"/>
            <w:noProof/>
          </w:rPr>
          <w:t>Passation des bons de commande</w:t>
        </w:r>
        <w:r>
          <w:rPr>
            <w:noProof/>
            <w:webHidden/>
          </w:rPr>
          <w:tab/>
        </w:r>
        <w:r>
          <w:rPr>
            <w:noProof/>
            <w:webHidden/>
          </w:rPr>
          <w:fldChar w:fldCharType="begin"/>
        </w:r>
        <w:r>
          <w:rPr>
            <w:noProof/>
            <w:webHidden/>
          </w:rPr>
          <w:instrText xml:space="preserve"> PAGEREF _Toc222244176 \h </w:instrText>
        </w:r>
        <w:r>
          <w:rPr>
            <w:noProof/>
            <w:webHidden/>
          </w:rPr>
        </w:r>
        <w:r>
          <w:rPr>
            <w:noProof/>
            <w:webHidden/>
          </w:rPr>
          <w:fldChar w:fldCharType="separate"/>
        </w:r>
        <w:r>
          <w:rPr>
            <w:noProof/>
            <w:webHidden/>
          </w:rPr>
          <w:t>16</w:t>
        </w:r>
        <w:r>
          <w:rPr>
            <w:noProof/>
            <w:webHidden/>
          </w:rPr>
          <w:fldChar w:fldCharType="end"/>
        </w:r>
      </w:hyperlink>
    </w:p>
    <w:p w14:paraId="3B3966FB" w14:textId="128C436C"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77" w:history="1">
        <w:r w:rsidRPr="00E70D19">
          <w:rPr>
            <w:rStyle w:val="Lienhypertexte"/>
            <w:rFonts w:eastAsia="Times New Roman" w:cs="Arial"/>
            <w:b/>
            <w:noProof/>
            <w:lang w:eastAsia="fr-FR"/>
          </w:rPr>
          <w:t>Article 5.1-</w:t>
        </w:r>
        <w:r>
          <w:rPr>
            <w:rFonts w:eastAsiaTheme="minorEastAsia"/>
            <w:i w:val="0"/>
            <w:noProof/>
            <w:kern w:val="2"/>
            <w:sz w:val="24"/>
            <w:szCs w:val="24"/>
            <w:lang w:eastAsia="fr-FR"/>
            <w14:ligatures w14:val="standardContextual"/>
          </w:rPr>
          <w:tab/>
        </w:r>
        <w:r w:rsidRPr="00E70D19">
          <w:rPr>
            <w:rStyle w:val="Lienhypertexte"/>
            <w:rFonts w:eastAsia="Times New Roman" w:cs="Arial"/>
            <w:b/>
            <w:noProof/>
            <w:lang w:eastAsia="fr-FR"/>
          </w:rPr>
          <w:t>Généralités</w:t>
        </w:r>
        <w:r>
          <w:rPr>
            <w:noProof/>
            <w:webHidden/>
          </w:rPr>
          <w:tab/>
        </w:r>
        <w:r>
          <w:rPr>
            <w:noProof/>
            <w:webHidden/>
          </w:rPr>
          <w:fldChar w:fldCharType="begin"/>
        </w:r>
        <w:r>
          <w:rPr>
            <w:noProof/>
            <w:webHidden/>
          </w:rPr>
          <w:instrText xml:space="preserve"> PAGEREF _Toc222244177 \h </w:instrText>
        </w:r>
        <w:r>
          <w:rPr>
            <w:noProof/>
            <w:webHidden/>
          </w:rPr>
        </w:r>
        <w:r>
          <w:rPr>
            <w:noProof/>
            <w:webHidden/>
          </w:rPr>
          <w:fldChar w:fldCharType="separate"/>
        </w:r>
        <w:r>
          <w:rPr>
            <w:noProof/>
            <w:webHidden/>
          </w:rPr>
          <w:t>16</w:t>
        </w:r>
        <w:r>
          <w:rPr>
            <w:noProof/>
            <w:webHidden/>
          </w:rPr>
          <w:fldChar w:fldCharType="end"/>
        </w:r>
      </w:hyperlink>
    </w:p>
    <w:p w14:paraId="24308BEB" w14:textId="582042C9"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78" w:history="1">
        <w:r w:rsidRPr="00E70D19">
          <w:rPr>
            <w:rStyle w:val="Lienhypertexte"/>
            <w:rFonts w:ascii="Calibri" w:eastAsia="Times New Roman" w:hAnsi="Calibri" w:cs="Arial"/>
            <w:b/>
            <w:noProof/>
            <w:lang w:eastAsia="fr-FR"/>
          </w:rPr>
          <w:t>Article 5.2-</w:t>
        </w:r>
        <w:r>
          <w:rPr>
            <w:rFonts w:eastAsiaTheme="minorEastAsia"/>
            <w:i w:val="0"/>
            <w:noProof/>
            <w:kern w:val="2"/>
            <w:sz w:val="24"/>
            <w:szCs w:val="24"/>
            <w:lang w:eastAsia="fr-FR"/>
            <w14:ligatures w14:val="standardContextual"/>
          </w:rPr>
          <w:tab/>
        </w:r>
        <w:r w:rsidRPr="00E70D19">
          <w:rPr>
            <w:rStyle w:val="Lienhypertexte"/>
            <w:rFonts w:eastAsia="Times New Roman" w:cs="Arial"/>
            <w:b/>
            <w:noProof/>
            <w:lang w:eastAsia="fr-FR"/>
          </w:rPr>
          <w:t>Contenu des bons de commande</w:t>
        </w:r>
        <w:r>
          <w:rPr>
            <w:noProof/>
            <w:webHidden/>
          </w:rPr>
          <w:tab/>
        </w:r>
        <w:r>
          <w:rPr>
            <w:noProof/>
            <w:webHidden/>
          </w:rPr>
          <w:fldChar w:fldCharType="begin"/>
        </w:r>
        <w:r>
          <w:rPr>
            <w:noProof/>
            <w:webHidden/>
          </w:rPr>
          <w:instrText xml:space="preserve"> PAGEREF _Toc222244178 \h </w:instrText>
        </w:r>
        <w:r>
          <w:rPr>
            <w:noProof/>
            <w:webHidden/>
          </w:rPr>
        </w:r>
        <w:r>
          <w:rPr>
            <w:noProof/>
            <w:webHidden/>
          </w:rPr>
          <w:fldChar w:fldCharType="separate"/>
        </w:r>
        <w:r>
          <w:rPr>
            <w:noProof/>
            <w:webHidden/>
          </w:rPr>
          <w:t>16</w:t>
        </w:r>
        <w:r>
          <w:rPr>
            <w:noProof/>
            <w:webHidden/>
          </w:rPr>
          <w:fldChar w:fldCharType="end"/>
        </w:r>
      </w:hyperlink>
    </w:p>
    <w:p w14:paraId="75747CF3" w14:textId="1CFD98B2"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79" w:history="1">
        <w:r w:rsidRPr="00E70D19">
          <w:rPr>
            <w:rStyle w:val="Lienhypertexte"/>
            <w:rFonts w:eastAsia="Times New Roman" w:cs="Arial"/>
            <w:b/>
            <w:noProof/>
            <w:lang w:eastAsia="fr-FR"/>
          </w:rPr>
          <w:t>Article 5.3-</w:t>
        </w:r>
        <w:r>
          <w:rPr>
            <w:rFonts w:eastAsiaTheme="minorEastAsia"/>
            <w:i w:val="0"/>
            <w:noProof/>
            <w:kern w:val="2"/>
            <w:sz w:val="24"/>
            <w:szCs w:val="24"/>
            <w:lang w:eastAsia="fr-FR"/>
            <w14:ligatures w14:val="standardContextual"/>
          </w:rPr>
          <w:tab/>
        </w:r>
        <w:r w:rsidRPr="00E70D19">
          <w:rPr>
            <w:rStyle w:val="Lienhypertexte"/>
            <w:rFonts w:eastAsia="Times New Roman" w:cs="Arial"/>
            <w:b/>
            <w:noProof/>
            <w:lang w:eastAsia="fr-FR"/>
          </w:rPr>
          <w:t>Validité des bons de commande</w:t>
        </w:r>
        <w:r>
          <w:rPr>
            <w:noProof/>
            <w:webHidden/>
          </w:rPr>
          <w:tab/>
        </w:r>
        <w:r>
          <w:rPr>
            <w:noProof/>
            <w:webHidden/>
          </w:rPr>
          <w:fldChar w:fldCharType="begin"/>
        </w:r>
        <w:r>
          <w:rPr>
            <w:noProof/>
            <w:webHidden/>
          </w:rPr>
          <w:instrText xml:space="preserve"> PAGEREF _Toc222244179 \h </w:instrText>
        </w:r>
        <w:r>
          <w:rPr>
            <w:noProof/>
            <w:webHidden/>
          </w:rPr>
        </w:r>
        <w:r>
          <w:rPr>
            <w:noProof/>
            <w:webHidden/>
          </w:rPr>
          <w:fldChar w:fldCharType="separate"/>
        </w:r>
        <w:r>
          <w:rPr>
            <w:noProof/>
            <w:webHidden/>
          </w:rPr>
          <w:t>16</w:t>
        </w:r>
        <w:r>
          <w:rPr>
            <w:noProof/>
            <w:webHidden/>
          </w:rPr>
          <w:fldChar w:fldCharType="end"/>
        </w:r>
      </w:hyperlink>
    </w:p>
    <w:p w14:paraId="10EA7A87" w14:textId="38A90413" w:rsidR="00DB091B" w:rsidRDefault="00DB091B">
      <w:pPr>
        <w:pStyle w:val="TM1"/>
        <w:rPr>
          <w:rFonts w:eastAsiaTheme="minorEastAsia"/>
          <w:b w:val="0"/>
          <w:noProof/>
          <w:kern w:val="2"/>
          <w:sz w:val="24"/>
          <w:szCs w:val="24"/>
          <w:lang w:eastAsia="fr-FR"/>
          <w14:ligatures w14:val="standardContextual"/>
        </w:rPr>
      </w:pPr>
      <w:hyperlink w:anchor="_Toc222244180" w:history="1">
        <w:r w:rsidRPr="00E70D19">
          <w:rPr>
            <w:rStyle w:val="Lienhypertexte"/>
            <w:noProof/>
          </w:rPr>
          <w:t>ARTICLE 6-</w:t>
        </w:r>
        <w:r>
          <w:rPr>
            <w:rFonts w:eastAsiaTheme="minorEastAsia"/>
            <w:b w:val="0"/>
            <w:noProof/>
            <w:kern w:val="2"/>
            <w:sz w:val="24"/>
            <w:szCs w:val="24"/>
            <w:lang w:eastAsia="fr-FR"/>
            <w14:ligatures w14:val="standardContextual"/>
          </w:rPr>
          <w:tab/>
        </w:r>
        <w:r w:rsidRPr="00E70D19">
          <w:rPr>
            <w:rStyle w:val="Lienhypertexte"/>
            <w:noProof/>
          </w:rPr>
          <w:t>Pièces contractuelles de l’accord-cadre et des marches subséquents</w:t>
        </w:r>
        <w:r>
          <w:rPr>
            <w:noProof/>
            <w:webHidden/>
          </w:rPr>
          <w:tab/>
        </w:r>
        <w:r>
          <w:rPr>
            <w:noProof/>
            <w:webHidden/>
          </w:rPr>
          <w:fldChar w:fldCharType="begin"/>
        </w:r>
        <w:r>
          <w:rPr>
            <w:noProof/>
            <w:webHidden/>
          </w:rPr>
          <w:instrText xml:space="preserve"> PAGEREF _Toc222244180 \h </w:instrText>
        </w:r>
        <w:r>
          <w:rPr>
            <w:noProof/>
            <w:webHidden/>
          </w:rPr>
        </w:r>
        <w:r>
          <w:rPr>
            <w:noProof/>
            <w:webHidden/>
          </w:rPr>
          <w:fldChar w:fldCharType="separate"/>
        </w:r>
        <w:r>
          <w:rPr>
            <w:noProof/>
            <w:webHidden/>
          </w:rPr>
          <w:t>17</w:t>
        </w:r>
        <w:r>
          <w:rPr>
            <w:noProof/>
            <w:webHidden/>
          </w:rPr>
          <w:fldChar w:fldCharType="end"/>
        </w:r>
      </w:hyperlink>
    </w:p>
    <w:p w14:paraId="0E6B5773" w14:textId="024AB738" w:rsidR="00DB091B" w:rsidRDefault="00DB091B">
      <w:pPr>
        <w:pStyle w:val="TM1"/>
        <w:rPr>
          <w:rFonts w:eastAsiaTheme="minorEastAsia"/>
          <w:b w:val="0"/>
          <w:noProof/>
          <w:kern w:val="2"/>
          <w:sz w:val="24"/>
          <w:szCs w:val="24"/>
          <w:lang w:eastAsia="fr-FR"/>
          <w14:ligatures w14:val="standardContextual"/>
        </w:rPr>
      </w:pPr>
      <w:hyperlink w:anchor="_Toc222244181" w:history="1">
        <w:r w:rsidRPr="00E70D19">
          <w:rPr>
            <w:rStyle w:val="Lienhypertexte"/>
            <w:noProof/>
          </w:rPr>
          <w:t>ARTICLE 7-</w:t>
        </w:r>
        <w:r>
          <w:rPr>
            <w:rFonts w:eastAsiaTheme="minorEastAsia"/>
            <w:b w:val="0"/>
            <w:noProof/>
            <w:kern w:val="2"/>
            <w:sz w:val="24"/>
            <w:szCs w:val="24"/>
            <w:lang w:eastAsia="fr-FR"/>
            <w14:ligatures w14:val="standardContextual"/>
          </w:rPr>
          <w:tab/>
        </w:r>
        <w:r w:rsidRPr="00E70D19">
          <w:rPr>
            <w:rStyle w:val="Lienhypertexte"/>
            <w:noProof/>
          </w:rPr>
          <w:t>Prix</w:t>
        </w:r>
        <w:r>
          <w:rPr>
            <w:noProof/>
            <w:webHidden/>
          </w:rPr>
          <w:tab/>
        </w:r>
        <w:r>
          <w:rPr>
            <w:noProof/>
            <w:webHidden/>
          </w:rPr>
          <w:fldChar w:fldCharType="begin"/>
        </w:r>
        <w:r>
          <w:rPr>
            <w:noProof/>
            <w:webHidden/>
          </w:rPr>
          <w:instrText xml:space="preserve"> PAGEREF _Toc222244181 \h </w:instrText>
        </w:r>
        <w:r>
          <w:rPr>
            <w:noProof/>
            <w:webHidden/>
          </w:rPr>
        </w:r>
        <w:r>
          <w:rPr>
            <w:noProof/>
            <w:webHidden/>
          </w:rPr>
          <w:fldChar w:fldCharType="separate"/>
        </w:r>
        <w:r>
          <w:rPr>
            <w:noProof/>
            <w:webHidden/>
          </w:rPr>
          <w:t>18</w:t>
        </w:r>
        <w:r>
          <w:rPr>
            <w:noProof/>
            <w:webHidden/>
          </w:rPr>
          <w:fldChar w:fldCharType="end"/>
        </w:r>
      </w:hyperlink>
    </w:p>
    <w:p w14:paraId="4706986A" w14:textId="13F87D77"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82" w:history="1">
        <w:r w:rsidRPr="00E70D19">
          <w:rPr>
            <w:rStyle w:val="Lienhypertexte"/>
            <w:noProof/>
          </w:rPr>
          <w:t>Article 7.1-</w:t>
        </w:r>
        <w:r>
          <w:rPr>
            <w:rFonts w:eastAsiaTheme="minorEastAsia"/>
            <w:i w:val="0"/>
            <w:noProof/>
            <w:kern w:val="2"/>
            <w:sz w:val="24"/>
            <w:szCs w:val="24"/>
            <w:lang w:eastAsia="fr-FR"/>
            <w14:ligatures w14:val="standardContextual"/>
          </w:rPr>
          <w:tab/>
        </w:r>
        <w:r w:rsidRPr="00E70D19">
          <w:rPr>
            <w:rStyle w:val="Lienhypertexte"/>
            <w:noProof/>
          </w:rPr>
          <w:t>Forme du prix</w:t>
        </w:r>
        <w:r>
          <w:rPr>
            <w:noProof/>
            <w:webHidden/>
          </w:rPr>
          <w:tab/>
        </w:r>
        <w:r>
          <w:rPr>
            <w:noProof/>
            <w:webHidden/>
          </w:rPr>
          <w:fldChar w:fldCharType="begin"/>
        </w:r>
        <w:r>
          <w:rPr>
            <w:noProof/>
            <w:webHidden/>
          </w:rPr>
          <w:instrText xml:space="preserve"> PAGEREF _Toc222244182 \h </w:instrText>
        </w:r>
        <w:r>
          <w:rPr>
            <w:noProof/>
            <w:webHidden/>
          </w:rPr>
        </w:r>
        <w:r>
          <w:rPr>
            <w:noProof/>
            <w:webHidden/>
          </w:rPr>
          <w:fldChar w:fldCharType="separate"/>
        </w:r>
        <w:r>
          <w:rPr>
            <w:noProof/>
            <w:webHidden/>
          </w:rPr>
          <w:t>18</w:t>
        </w:r>
        <w:r>
          <w:rPr>
            <w:noProof/>
            <w:webHidden/>
          </w:rPr>
          <w:fldChar w:fldCharType="end"/>
        </w:r>
      </w:hyperlink>
    </w:p>
    <w:p w14:paraId="6311F8D7" w14:textId="6239C94E"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83" w:history="1">
        <w:r w:rsidRPr="00E70D19">
          <w:rPr>
            <w:rStyle w:val="Lienhypertexte"/>
            <w:noProof/>
          </w:rPr>
          <w:t>Article 7.2-</w:t>
        </w:r>
        <w:r>
          <w:rPr>
            <w:rFonts w:eastAsiaTheme="minorEastAsia"/>
            <w:i w:val="0"/>
            <w:noProof/>
            <w:kern w:val="2"/>
            <w:sz w:val="24"/>
            <w:szCs w:val="24"/>
            <w:lang w:eastAsia="fr-FR"/>
            <w14:ligatures w14:val="standardContextual"/>
          </w:rPr>
          <w:tab/>
        </w:r>
        <w:r w:rsidRPr="00E70D19">
          <w:rPr>
            <w:rStyle w:val="Lienhypertexte"/>
            <w:noProof/>
          </w:rPr>
          <w:t>Caractéristiques des prix pratiqués de l’accord-cadre</w:t>
        </w:r>
        <w:r>
          <w:rPr>
            <w:noProof/>
            <w:webHidden/>
          </w:rPr>
          <w:tab/>
        </w:r>
        <w:r>
          <w:rPr>
            <w:noProof/>
            <w:webHidden/>
          </w:rPr>
          <w:fldChar w:fldCharType="begin"/>
        </w:r>
        <w:r>
          <w:rPr>
            <w:noProof/>
            <w:webHidden/>
          </w:rPr>
          <w:instrText xml:space="preserve"> PAGEREF _Toc222244183 \h </w:instrText>
        </w:r>
        <w:r>
          <w:rPr>
            <w:noProof/>
            <w:webHidden/>
          </w:rPr>
        </w:r>
        <w:r>
          <w:rPr>
            <w:noProof/>
            <w:webHidden/>
          </w:rPr>
          <w:fldChar w:fldCharType="separate"/>
        </w:r>
        <w:r>
          <w:rPr>
            <w:noProof/>
            <w:webHidden/>
          </w:rPr>
          <w:t>18</w:t>
        </w:r>
        <w:r>
          <w:rPr>
            <w:noProof/>
            <w:webHidden/>
          </w:rPr>
          <w:fldChar w:fldCharType="end"/>
        </w:r>
      </w:hyperlink>
    </w:p>
    <w:p w14:paraId="4384443F" w14:textId="587C94AA"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84" w:history="1">
        <w:r w:rsidRPr="00E70D19">
          <w:rPr>
            <w:rStyle w:val="Lienhypertexte"/>
            <w:noProof/>
          </w:rPr>
          <w:t>Article 7.3-</w:t>
        </w:r>
        <w:r>
          <w:rPr>
            <w:rFonts w:eastAsiaTheme="minorEastAsia"/>
            <w:i w:val="0"/>
            <w:noProof/>
            <w:kern w:val="2"/>
            <w:sz w:val="24"/>
            <w:szCs w:val="24"/>
            <w:lang w:eastAsia="fr-FR"/>
            <w14:ligatures w14:val="standardContextual"/>
          </w:rPr>
          <w:tab/>
        </w:r>
        <w:r w:rsidRPr="00E70D19">
          <w:rPr>
            <w:rStyle w:val="Lienhypertexte"/>
            <w:noProof/>
          </w:rPr>
          <w:t>Caractéristiques des prix pratiqués du marché subséquent</w:t>
        </w:r>
        <w:r>
          <w:rPr>
            <w:noProof/>
            <w:webHidden/>
          </w:rPr>
          <w:tab/>
        </w:r>
        <w:r>
          <w:rPr>
            <w:noProof/>
            <w:webHidden/>
          </w:rPr>
          <w:fldChar w:fldCharType="begin"/>
        </w:r>
        <w:r>
          <w:rPr>
            <w:noProof/>
            <w:webHidden/>
          </w:rPr>
          <w:instrText xml:space="preserve"> PAGEREF _Toc222244184 \h </w:instrText>
        </w:r>
        <w:r>
          <w:rPr>
            <w:noProof/>
            <w:webHidden/>
          </w:rPr>
        </w:r>
        <w:r>
          <w:rPr>
            <w:noProof/>
            <w:webHidden/>
          </w:rPr>
          <w:fldChar w:fldCharType="separate"/>
        </w:r>
        <w:r>
          <w:rPr>
            <w:noProof/>
            <w:webHidden/>
          </w:rPr>
          <w:t>18</w:t>
        </w:r>
        <w:r>
          <w:rPr>
            <w:noProof/>
            <w:webHidden/>
          </w:rPr>
          <w:fldChar w:fldCharType="end"/>
        </w:r>
      </w:hyperlink>
    </w:p>
    <w:p w14:paraId="443AED31" w14:textId="07D4F5FD"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85" w:history="1">
        <w:r w:rsidRPr="00E70D19">
          <w:rPr>
            <w:rStyle w:val="Lienhypertexte"/>
            <w:noProof/>
          </w:rPr>
          <w:t>Article 7.4-</w:t>
        </w:r>
        <w:r>
          <w:rPr>
            <w:rFonts w:eastAsiaTheme="minorEastAsia"/>
            <w:i w:val="0"/>
            <w:noProof/>
            <w:kern w:val="2"/>
            <w:sz w:val="24"/>
            <w:szCs w:val="24"/>
            <w:lang w:eastAsia="fr-FR"/>
            <w14:ligatures w14:val="standardContextual"/>
          </w:rPr>
          <w:tab/>
        </w:r>
        <w:r w:rsidRPr="00E70D19">
          <w:rPr>
            <w:rStyle w:val="Lienhypertexte"/>
            <w:noProof/>
          </w:rPr>
          <w:t>Contenu des prix</w:t>
        </w:r>
        <w:r>
          <w:rPr>
            <w:noProof/>
            <w:webHidden/>
          </w:rPr>
          <w:tab/>
        </w:r>
        <w:r>
          <w:rPr>
            <w:noProof/>
            <w:webHidden/>
          </w:rPr>
          <w:fldChar w:fldCharType="begin"/>
        </w:r>
        <w:r>
          <w:rPr>
            <w:noProof/>
            <w:webHidden/>
          </w:rPr>
          <w:instrText xml:space="preserve"> PAGEREF _Toc222244185 \h </w:instrText>
        </w:r>
        <w:r>
          <w:rPr>
            <w:noProof/>
            <w:webHidden/>
          </w:rPr>
        </w:r>
        <w:r>
          <w:rPr>
            <w:noProof/>
            <w:webHidden/>
          </w:rPr>
          <w:fldChar w:fldCharType="separate"/>
        </w:r>
        <w:r>
          <w:rPr>
            <w:noProof/>
            <w:webHidden/>
          </w:rPr>
          <w:t>19</w:t>
        </w:r>
        <w:r>
          <w:rPr>
            <w:noProof/>
            <w:webHidden/>
          </w:rPr>
          <w:fldChar w:fldCharType="end"/>
        </w:r>
      </w:hyperlink>
    </w:p>
    <w:p w14:paraId="23AA5582" w14:textId="2C6E9048" w:rsidR="00DB091B" w:rsidRDefault="00DB091B">
      <w:pPr>
        <w:pStyle w:val="TM1"/>
        <w:rPr>
          <w:rFonts w:eastAsiaTheme="minorEastAsia"/>
          <w:b w:val="0"/>
          <w:noProof/>
          <w:kern w:val="2"/>
          <w:sz w:val="24"/>
          <w:szCs w:val="24"/>
          <w:lang w:eastAsia="fr-FR"/>
          <w14:ligatures w14:val="standardContextual"/>
        </w:rPr>
      </w:pPr>
      <w:hyperlink w:anchor="_Toc222244186" w:history="1">
        <w:r w:rsidRPr="00E70D19">
          <w:rPr>
            <w:rStyle w:val="Lienhypertexte"/>
            <w:noProof/>
          </w:rPr>
          <w:t>ARTICLE 8-</w:t>
        </w:r>
        <w:r>
          <w:rPr>
            <w:rFonts w:eastAsiaTheme="minorEastAsia"/>
            <w:b w:val="0"/>
            <w:noProof/>
            <w:kern w:val="2"/>
            <w:sz w:val="24"/>
            <w:szCs w:val="24"/>
            <w:lang w:eastAsia="fr-FR"/>
            <w14:ligatures w14:val="standardContextual"/>
          </w:rPr>
          <w:tab/>
        </w:r>
        <w:r w:rsidRPr="00E70D19">
          <w:rPr>
            <w:rStyle w:val="Lienhypertexte"/>
            <w:noProof/>
          </w:rPr>
          <w:t>Variation des prix</w:t>
        </w:r>
        <w:r>
          <w:rPr>
            <w:noProof/>
            <w:webHidden/>
          </w:rPr>
          <w:tab/>
        </w:r>
        <w:r>
          <w:rPr>
            <w:noProof/>
            <w:webHidden/>
          </w:rPr>
          <w:fldChar w:fldCharType="begin"/>
        </w:r>
        <w:r>
          <w:rPr>
            <w:noProof/>
            <w:webHidden/>
          </w:rPr>
          <w:instrText xml:space="preserve"> PAGEREF _Toc222244186 \h </w:instrText>
        </w:r>
        <w:r>
          <w:rPr>
            <w:noProof/>
            <w:webHidden/>
          </w:rPr>
        </w:r>
        <w:r>
          <w:rPr>
            <w:noProof/>
            <w:webHidden/>
          </w:rPr>
          <w:fldChar w:fldCharType="separate"/>
        </w:r>
        <w:r>
          <w:rPr>
            <w:noProof/>
            <w:webHidden/>
          </w:rPr>
          <w:t>19</w:t>
        </w:r>
        <w:r>
          <w:rPr>
            <w:noProof/>
            <w:webHidden/>
          </w:rPr>
          <w:fldChar w:fldCharType="end"/>
        </w:r>
      </w:hyperlink>
    </w:p>
    <w:p w14:paraId="589F147F" w14:textId="65D2C98F"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87" w:history="1">
        <w:r w:rsidRPr="00E70D19">
          <w:rPr>
            <w:rStyle w:val="Lienhypertexte"/>
            <w:noProof/>
          </w:rPr>
          <w:t>Article 8.1-</w:t>
        </w:r>
        <w:r>
          <w:rPr>
            <w:rFonts w:eastAsiaTheme="minorEastAsia"/>
            <w:i w:val="0"/>
            <w:noProof/>
            <w:kern w:val="2"/>
            <w:sz w:val="24"/>
            <w:szCs w:val="24"/>
            <w:lang w:eastAsia="fr-FR"/>
            <w14:ligatures w14:val="standardContextual"/>
          </w:rPr>
          <w:tab/>
        </w:r>
        <w:r w:rsidRPr="00E70D19">
          <w:rPr>
            <w:rStyle w:val="Lienhypertexte"/>
            <w:noProof/>
          </w:rPr>
          <w:t>Mois d’établissement des prix</w:t>
        </w:r>
        <w:r>
          <w:rPr>
            <w:noProof/>
            <w:webHidden/>
          </w:rPr>
          <w:tab/>
        </w:r>
        <w:r>
          <w:rPr>
            <w:noProof/>
            <w:webHidden/>
          </w:rPr>
          <w:fldChar w:fldCharType="begin"/>
        </w:r>
        <w:r>
          <w:rPr>
            <w:noProof/>
            <w:webHidden/>
          </w:rPr>
          <w:instrText xml:space="preserve"> PAGEREF _Toc222244187 \h </w:instrText>
        </w:r>
        <w:r>
          <w:rPr>
            <w:noProof/>
            <w:webHidden/>
          </w:rPr>
        </w:r>
        <w:r>
          <w:rPr>
            <w:noProof/>
            <w:webHidden/>
          </w:rPr>
          <w:fldChar w:fldCharType="separate"/>
        </w:r>
        <w:r>
          <w:rPr>
            <w:noProof/>
            <w:webHidden/>
          </w:rPr>
          <w:t>19</w:t>
        </w:r>
        <w:r>
          <w:rPr>
            <w:noProof/>
            <w:webHidden/>
          </w:rPr>
          <w:fldChar w:fldCharType="end"/>
        </w:r>
      </w:hyperlink>
    </w:p>
    <w:p w14:paraId="69E235C9" w14:textId="199F9E6C"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88" w:history="1">
        <w:r w:rsidRPr="00E70D19">
          <w:rPr>
            <w:rStyle w:val="Lienhypertexte"/>
            <w:noProof/>
          </w:rPr>
          <w:t>Article 8.2-</w:t>
        </w:r>
        <w:r>
          <w:rPr>
            <w:rFonts w:eastAsiaTheme="minorEastAsia"/>
            <w:i w:val="0"/>
            <w:noProof/>
            <w:kern w:val="2"/>
            <w:sz w:val="24"/>
            <w:szCs w:val="24"/>
            <w:lang w:eastAsia="fr-FR"/>
            <w14:ligatures w14:val="standardContextual"/>
          </w:rPr>
          <w:tab/>
        </w:r>
        <w:r w:rsidRPr="00E70D19">
          <w:rPr>
            <w:rStyle w:val="Lienhypertexte"/>
            <w:noProof/>
          </w:rPr>
          <w:t>Modalités de variation des prix</w:t>
        </w:r>
        <w:r>
          <w:rPr>
            <w:noProof/>
            <w:webHidden/>
          </w:rPr>
          <w:tab/>
        </w:r>
        <w:r>
          <w:rPr>
            <w:noProof/>
            <w:webHidden/>
          </w:rPr>
          <w:fldChar w:fldCharType="begin"/>
        </w:r>
        <w:r>
          <w:rPr>
            <w:noProof/>
            <w:webHidden/>
          </w:rPr>
          <w:instrText xml:space="preserve"> PAGEREF _Toc222244188 \h </w:instrText>
        </w:r>
        <w:r>
          <w:rPr>
            <w:noProof/>
            <w:webHidden/>
          </w:rPr>
        </w:r>
        <w:r>
          <w:rPr>
            <w:noProof/>
            <w:webHidden/>
          </w:rPr>
          <w:fldChar w:fldCharType="separate"/>
        </w:r>
        <w:r>
          <w:rPr>
            <w:noProof/>
            <w:webHidden/>
          </w:rPr>
          <w:t>19</w:t>
        </w:r>
        <w:r>
          <w:rPr>
            <w:noProof/>
            <w:webHidden/>
          </w:rPr>
          <w:fldChar w:fldCharType="end"/>
        </w:r>
      </w:hyperlink>
    </w:p>
    <w:p w14:paraId="26363E35" w14:textId="17B50E13" w:rsidR="00DB091B" w:rsidRDefault="00DB091B">
      <w:pPr>
        <w:pStyle w:val="TM1"/>
        <w:rPr>
          <w:rFonts w:eastAsiaTheme="minorEastAsia"/>
          <w:b w:val="0"/>
          <w:noProof/>
          <w:kern w:val="2"/>
          <w:sz w:val="24"/>
          <w:szCs w:val="24"/>
          <w:lang w:eastAsia="fr-FR"/>
          <w14:ligatures w14:val="standardContextual"/>
        </w:rPr>
      </w:pPr>
      <w:hyperlink w:anchor="_Toc222244189" w:history="1">
        <w:r w:rsidRPr="00E70D19">
          <w:rPr>
            <w:rStyle w:val="Lienhypertexte"/>
            <w:noProof/>
          </w:rPr>
          <w:t>ARTICLE 9-</w:t>
        </w:r>
        <w:r>
          <w:rPr>
            <w:rFonts w:eastAsiaTheme="minorEastAsia"/>
            <w:b w:val="0"/>
            <w:noProof/>
            <w:kern w:val="2"/>
            <w:sz w:val="24"/>
            <w:szCs w:val="24"/>
            <w:lang w:eastAsia="fr-FR"/>
            <w14:ligatures w14:val="standardContextual"/>
          </w:rPr>
          <w:tab/>
        </w:r>
        <w:r w:rsidRPr="00E70D19">
          <w:rPr>
            <w:rStyle w:val="Lienhypertexte"/>
            <w:noProof/>
          </w:rPr>
          <w:t>Clauses de réexamen</w:t>
        </w:r>
        <w:r>
          <w:rPr>
            <w:noProof/>
            <w:webHidden/>
          </w:rPr>
          <w:tab/>
        </w:r>
        <w:r>
          <w:rPr>
            <w:noProof/>
            <w:webHidden/>
          </w:rPr>
          <w:fldChar w:fldCharType="begin"/>
        </w:r>
        <w:r>
          <w:rPr>
            <w:noProof/>
            <w:webHidden/>
          </w:rPr>
          <w:instrText xml:space="preserve"> PAGEREF _Toc222244189 \h </w:instrText>
        </w:r>
        <w:r>
          <w:rPr>
            <w:noProof/>
            <w:webHidden/>
          </w:rPr>
        </w:r>
        <w:r>
          <w:rPr>
            <w:noProof/>
            <w:webHidden/>
          </w:rPr>
          <w:fldChar w:fldCharType="separate"/>
        </w:r>
        <w:r>
          <w:rPr>
            <w:noProof/>
            <w:webHidden/>
          </w:rPr>
          <w:t>20</w:t>
        </w:r>
        <w:r>
          <w:rPr>
            <w:noProof/>
            <w:webHidden/>
          </w:rPr>
          <w:fldChar w:fldCharType="end"/>
        </w:r>
      </w:hyperlink>
    </w:p>
    <w:p w14:paraId="09FD3719" w14:textId="7A96C2EE"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90" w:history="1">
        <w:r w:rsidRPr="00E70D19">
          <w:rPr>
            <w:rStyle w:val="Lienhypertexte"/>
            <w:noProof/>
          </w:rPr>
          <w:t>Article 9.1-</w:t>
        </w:r>
        <w:r>
          <w:rPr>
            <w:rFonts w:eastAsiaTheme="minorEastAsia"/>
            <w:i w:val="0"/>
            <w:noProof/>
            <w:kern w:val="2"/>
            <w:sz w:val="24"/>
            <w:szCs w:val="24"/>
            <w:lang w:eastAsia="fr-FR"/>
            <w14:ligatures w14:val="standardContextual"/>
          </w:rPr>
          <w:tab/>
        </w:r>
        <w:r w:rsidRPr="00E70D19">
          <w:rPr>
            <w:rStyle w:val="Lienhypertexte"/>
            <w:noProof/>
          </w:rPr>
          <w:t>Remplacement de l’un des titulaires initiaux par un nouveau titulaire en cours d’exécution</w:t>
        </w:r>
        <w:r>
          <w:rPr>
            <w:noProof/>
            <w:webHidden/>
          </w:rPr>
          <w:tab/>
        </w:r>
        <w:r>
          <w:rPr>
            <w:noProof/>
            <w:webHidden/>
          </w:rPr>
          <w:fldChar w:fldCharType="begin"/>
        </w:r>
        <w:r>
          <w:rPr>
            <w:noProof/>
            <w:webHidden/>
          </w:rPr>
          <w:instrText xml:space="preserve"> PAGEREF _Toc222244190 \h </w:instrText>
        </w:r>
        <w:r>
          <w:rPr>
            <w:noProof/>
            <w:webHidden/>
          </w:rPr>
        </w:r>
        <w:r>
          <w:rPr>
            <w:noProof/>
            <w:webHidden/>
          </w:rPr>
          <w:fldChar w:fldCharType="separate"/>
        </w:r>
        <w:r>
          <w:rPr>
            <w:noProof/>
            <w:webHidden/>
          </w:rPr>
          <w:t>20</w:t>
        </w:r>
        <w:r>
          <w:rPr>
            <w:noProof/>
            <w:webHidden/>
          </w:rPr>
          <w:fldChar w:fldCharType="end"/>
        </w:r>
      </w:hyperlink>
    </w:p>
    <w:p w14:paraId="52376444" w14:textId="00FBBBAF" w:rsidR="00DB091B" w:rsidRDefault="00DB091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4191" w:history="1">
        <w:r w:rsidRPr="00E70D19">
          <w:rPr>
            <w:rStyle w:val="Lienhypertexte"/>
            <w:noProof/>
          </w:rPr>
          <w:t>Article 9.2-</w:t>
        </w:r>
        <w:r>
          <w:rPr>
            <w:rFonts w:eastAsiaTheme="minorEastAsia"/>
            <w:i w:val="0"/>
            <w:noProof/>
            <w:kern w:val="2"/>
            <w:sz w:val="24"/>
            <w:szCs w:val="24"/>
            <w:lang w:eastAsia="fr-FR"/>
            <w14:ligatures w14:val="standardContextual"/>
          </w:rPr>
          <w:tab/>
        </w:r>
        <w:r w:rsidRPr="00E70D19">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_Toc222244191 \h </w:instrText>
        </w:r>
        <w:r>
          <w:rPr>
            <w:noProof/>
            <w:webHidden/>
          </w:rPr>
        </w:r>
        <w:r>
          <w:rPr>
            <w:noProof/>
            <w:webHidden/>
          </w:rPr>
          <w:fldChar w:fldCharType="separate"/>
        </w:r>
        <w:r>
          <w:rPr>
            <w:noProof/>
            <w:webHidden/>
          </w:rPr>
          <w:t>21</w:t>
        </w:r>
        <w:r>
          <w:rPr>
            <w:noProof/>
            <w:webHidden/>
          </w:rPr>
          <w:fldChar w:fldCharType="end"/>
        </w:r>
      </w:hyperlink>
    </w:p>
    <w:p w14:paraId="320E68A9" w14:textId="625AD8CD" w:rsidR="00DB091B" w:rsidRDefault="00DB091B">
      <w:pPr>
        <w:pStyle w:val="TM1"/>
        <w:rPr>
          <w:rFonts w:eastAsiaTheme="minorEastAsia"/>
          <w:b w:val="0"/>
          <w:noProof/>
          <w:kern w:val="2"/>
          <w:sz w:val="24"/>
          <w:szCs w:val="24"/>
          <w:lang w:eastAsia="fr-FR"/>
          <w14:ligatures w14:val="standardContextual"/>
        </w:rPr>
      </w:pPr>
      <w:hyperlink w:anchor="_Toc222244192" w:history="1">
        <w:r w:rsidRPr="00E70D19">
          <w:rPr>
            <w:rStyle w:val="Lienhypertexte"/>
            <w:noProof/>
          </w:rPr>
          <w:t>ARTICLE 10-</w:t>
        </w:r>
        <w:r>
          <w:rPr>
            <w:rFonts w:eastAsiaTheme="minorEastAsia"/>
            <w:b w:val="0"/>
            <w:noProof/>
            <w:kern w:val="2"/>
            <w:sz w:val="24"/>
            <w:szCs w:val="24"/>
            <w:lang w:eastAsia="fr-FR"/>
            <w14:ligatures w14:val="standardContextual"/>
          </w:rPr>
          <w:tab/>
        </w:r>
        <w:r w:rsidRPr="00E70D19">
          <w:rPr>
            <w:rStyle w:val="Lienhypertexte"/>
            <w:noProof/>
          </w:rPr>
          <w:t>Clauses de sûreté et de financement</w:t>
        </w:r>
        <w:r>
          <w:rPr>
            <w:noProof/>
            <w:webHidden/>
          </w:rPr>
          <w:tab/>
        </w:r>
        <w:r>
          <w:rPr>
            <w:noProof/>
            <w:webHidden/>
          </w:rPr>
          <w:fldChar w:fldCharType="begin"/>
        </w:r>
        <w:r>
          <w:rPr>
            <w:noProof/>
            <w:webHidden/>
          </w:rPr>
          <w:instrText xml:space="preserve"> PAGEREF _Toc222244192 \h </w:instrText>
        </w:r>
        <w:r>
          <w:rPr>
            <w:noProof/>
            <w:webHidden/>
          </w:rPr>
        </w:r>
        <w:r>
          <w:rPr>
            <w:noProof/>
            <w:webHidden/>
          </w:rPr>
          <w:fldChar w:fldCharType="separate"/>
        </w:r>
        <w:r>
          <w:rPr>
            <w:noProof/>
            <w:webHidden/>
          </w:rPr>
          <w:t>21</w:t>
        </w:r>
        <w:r>
          <w:rPr>
            <w:noProof/>
            <w:webHidden/>
          </w:rPr>
          <w:fldChar w:fldCharType="end"/>
        </w:r>
      </w:hyperlink>
    </w:p>
    <w:p w14:paraId="6DD1DAB5" w14:textId="65F11EE3"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93" w:history="1">
        <w:r w:rsidRPr="00E70D19">
          <w:rPr>
            <w:rStyle w:val="Lienhypertexte"/>
            <w:noProof/>
          </w:rPr>
          <w:t>Article 10.1-</w:t>
        </w:r>
        <w:r>
          <w:rPr>
            <w:rFonts w:eastAsiaTheme="minorEastAsia"/>
            <w:i w:val="0"/>
            <w:noProof/>
            <w:kern w:val="2"/>
            <w:sz w:val="24"/>
            <w:szCs w:val="24"/>
            <w:lang w:eastAsia="fr-FR"/>
            <w14:ligatures w14:val="standardContextual"/>
          </w:rPr>
          <w:tab/>
        </w:r>
        <w:r w:rsidRPr="00E70D19">
          <w:rPr>
            <w:rStyle w:val="Lienhypertexte"/>
            <w:noProof/>
          </w:rPr>
          <w:t>Avance</w:t>
        </w:r>
        <w:r>
          <w:rPr>
            <w:noProof/>
            <w:webHidden/>
          </w:rPr>
          <w:tab/>
        </w:r>
        <w:r>
          <w:rPr>
            <w:noProof/>
            <w:webHidden/>
          </w:rPr>
          <w:fldChar w:fldCharType="begin"/>
        </w:r>
        <w:r>
          <w:rPr>
            <w:noProof/>
            <w:webHidden/>
          </w:rPr>
          <w:instrText xml:space="preserve"> PAGEREF _Toc222244193 \h </w:instrText>
        </w:r>
        <w:r>
          <w:rPr>
            <w:noProof/>
            <w:webHidden/>
          </w:rPr>
        </w:r>
        <w:r>
          <w:rPr>
            <w:noProof/>
            <w:webHidden/>
          </w:rPr>
          <w:fldChar w:fldCharType="separate"/>
        </w:r>
        <w:r>
          <w:rPr>
            <w:noProof/>
            <w:webHidden/>
          </w:rPr>
          <w:t>21</w:t>
        </w:r>
        <w:r>
          <w:rPr>
            <w:noProof/>
            <w:webHidden/>
          </w:rPr>
          <w:fldChar w:fldCharType="end"/>
        </w:r>
      </w:hyperlink>
    </w:p>
    <w:p w14:paraId="26C03E40" w14:textId="607B2B25" w:rsidR="00DB091B" w:rsidRDefault="00DB091B">
      <w:pPr>
        <w:pStyle w:val="TM1"/>
        <w:rPr>
          <w:rFonts w:eastAsiaTheme="minorEastAsia"/>
          <w:b w:val="0"/>
          <w:noProof/>
          <w:kern w:val="2"/>
          <w:sz w:val="24"/>
          <w:szCs w:val="24"/>
          <w:lang w:eastAsia="fr-FR"/>
          <w14:ligatures w14:val="standardContextual"/>
        </w:rPr>
      </w:pPr>
      <w:hyperlink w:anchor="_Toc222244194" w:history="1">
        <w:r w:rsidRPr="00E70D19">
          <w:rPr>
            <w:rStyle w:val="Lienhypertexte"/>
            <w:noProof/>
          </w:rPr>
          <w:t>ARTICLE 11-</w:t>
        </w:r>
        <w:r>
          <w:rPr>
            <w:rFonts w:eastAsiaTheme="minorEastAsia"/>
            <w:b w:val="0"/>
            <w:noProof/>
            <w:kern w:val="2"/>
            <w:sz w:val="24"/>
            <w:szCs w:val="24"/>
            <w:lang w:eastAsia="fr-FR"/>
            <w14:ligatures w14:val="standardContextual"/>
          </w:rPr>
          <w:tab/>
        </w:r>
        <w:r w:rsidRPr="00E70D19">
          <w:rPr>
            <w:rStyle w:val="Lienhypertexte"/>
            <w:noProof/>
          </w:rPr>
          <w:t>Modalités de règlement des prestations</w:t>
        </w:r>
        <w:r>
          <w:rPr>
            <w:noProof/>
            <w:webHidden/>
          </w:rPr>
          <w:tab/>
        </w:r>
        <w:r>
          <w:rPr>
            <w:noProof/>
            <w:webHidden/>
          </w:rPr>
          <w:fldChar w:fldCharType="begin"/>
        </w:r>
        <w:r>
          <w:rPr>
            <w:noProof/>
            <w:webHidden/>
          </w:rPr>
          <w:instrText xml:space="preserve"> PAGEREF _Toc222244194 \h </w:instrText>
        </w:r>
        <w:r>
          <w:rPr>
            <w:noProof/>
            <w:webHidden/>
          </w:rPr>
        </w:r>
        <w:r>
          <w:rPr>
            <w:noProof/>
            <w:webHidden/>
          </w:rPr>
          <w:fldChar w:fldCharType="separate"/>
        </w:r>
        <w:r>
          <w:rPr>
            <w:noProof/>
            <w:webHidden/>
          </w:rPr>
          <w:t>22</w:t>
        </w:r>
        <w:r>
          <w:rPr>
            <w:noProof/>
            <w:webHidden/>
          </w:rPr>
          <w:fldChar w:fldCharType="end"/>
        </w:r>
      </w:hyperlink>
    </w:p>
    <w:p w14:paraId="3820F7B0" w14:textId="700A11E5"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95" w:history="1">
        <w:r w:rsidRPr="00E70D19">
          <w:rPr>
            <w:rStyle w:val="Lienhypertexte"/>
            <w:noProof/>
          </w:rPr>
          <w:t>Article 11.1-</w:t>
        </w:r>
        <w:r>
          <w:rPr>
            <w:rFonts w:eastAsiaTheme="minorEastAsia"/>
            <w:i w:val="0"/>
            <w:noProof/>
            <w:kern w:val="2"/>
            <w:sz w:val="24"/>
            <w:szCs w:val="24"/>
            <w:lang w:eastAsia="fr-FR"/>
            <w14:ligatures w14:val="standardContextual"/>
          </w:rPr>
          <w:tab/>
        </w:r>
        <w:r w:rsidRPr="00E70D19">
          <w:rPr>
            <w:rStyle w:val="Lienhypertexte"/>
            <w:noProof/>
          </w:rPr>
          <w:t>T.V.A.</w:t>
        </w:r>
        <w:r>
          <w:rPr>
            <w:noProof/>
            <w:webHidden/>
          </w:rPr>
          <w:tab/>
        </w:r>
        <w:r>
          <w:rPr>
            <w:noProof/>
            <w:webHidden/>
          </w:rPr>
          <w:fldChar w:fldCharType="begin"/>
        </w:r>
        <w:r>
          <w:rPr>
            <w:noProof/>
            <w:webHidden/>
          </w:rPr>
          <w:instrText xml:space="preserve"> PAGEREF _Toc222244195 \h </w:instrText>
        </w:r>
        <w:r>
          <w:rPr>
            <w:noProof/>
            <w:webHidden/>
          </w:rPr>
        </w:r>
        <w:r>
          <w:rPr>
            <w:noProof/>
            <w:webHidden/>
          </w:rPr>
          <w:fldChar w:fldCharType="separate"/>
        </w:r>
        <w:r>
          <w:rPr>
            <w:noProof/>
            <w:webHidden/>
          </w:rPr>
          <w:t>22</w:t>
        </w:r>
        <w:r>
          <w:rPr>
            <w:noProof/>
            <w:webHidden/>
          </w:rPr>
          <w:fldChar w:fldCharType="end"/>
        </w:r>
      </w:hyperlink>
    </w:p>
    <w:p w14:paraId="63CAFDFE" w14:textId="151D4D95"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96" w:history="1">
        <w:r w:rsidRPr="00E70D19">
          <w:rPr>
            <w:rStyle w:val="Lienhypertexte"/>
            <w:noProof/>
          </w:rPr>
          <w:t>Article 11.2-</w:t>
        </w:r>
        <w:r>
          <w:rPr>
            <w:rFonts w:eastAsiaTheme="minorEastAsia"/>
            <w:i w:val="0"/>
            <w:noProof/>
            <w:kern w:val="2"/>
            <w:sz w:val="24"/>
            <w:szCs w:val="24"/>
            <w:lang w:eastAsia="fr-FR"/>
            <w14:ligatures w14:val="standardContextual"/>
          </w:rPr>
          <w:tab/>
        </w:r>
        <w:r w:rsidRPr="00E70D19">
          <w:rPr>
            <w:rStyle w:val="Lienhypertexte"/>
            <w:noProof/>
          </w:rPr>
          <w:t>Transmission des demandes de paiement</w:t>
        </w:r>
        <w:r>
          <w:rPr>
            <w:noProof/>
            <w:webHidden/>
          </w:rPr>
          <w:tab/>
        </w:r>
        <w:r>
          <w:rPr>
            <w:noProof/>
            <w:webHidden/>
          </w:rPr>
          <w:fldChar w:fldCharType="begin"/>
        </w:r>
        <w:r>
          <w:rPr>
            <w:noProof/>
            <w:webHidden/>
          </w:rPr>
          <w:instrText xml:space="preserve"> PAGEREF _Toc222244196 \h </w:instrText>
        </w:r>
        <w:r>
          <w:rPr>
            <w:noProof/>
            <w:webHidden/>
          </w:rPr>
        </w:r>
        <w:r>
          <w:rPr>
            <w:noProof/>
            <w:webHidden/>
          </w:rPr>
          <w:fldChar w:fldCharType="separate"/>
        </w:r>
        <w:r>
          <w:rPr>
            <w:noProof/>
            <w:webHidden/>
          </w:rPr>
          <w:t>22</w:t>
        </w:r>
        <w:r>
          <w:rPr>
            <w:noProof/>
            <w:webHidden/>
          </w:rPr>
          <w:fldChar w:fldCharType="end"/>
        </w:r>
      </w:hyperlink>
    </w:p>
    <w:p w14:paraId="7D7ED80E" w14:textId="5326A774"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97" w:history="1">
        <w:r w:rsidRPr="00E70D19">
          <w:rPr>
            <w:rStyle w:val="Lienhypertexte"/>
            <w:noProof/>
          </w:rPr>
          <w:t>Article 11.3-</w:t>
        </w:r>
        <w:r>
          <w:rPr>
            <w:rFonts w:eastAsiaTheme="minorEastAsia"/>
            <w:i w:val="0"/>
            <w:noProof/>
            <w:kern w:val="2"/>
            <w:sz w:val="24"/>
            <w:szCs w:val="24"/>
            <w:lang w:eastAsia="fr-FR"/>
            <w14:ligatures w14:val="standardContextual"/>
          </w:rPr>
          <w:tab/>
        </w:r>
        <w:r w:rsidRPr="00E70D19">
          <w:rPr>
            <w:rStyle w:val="Lienhypertexte"/>
            <w:noProof/>
          </w:rPr>
          <w:t>Modalités et périodicité des paiements</w:t>
        </w:r>
        <w:r>
          <w:rPr>
            <w:noProof/>
            <w:webHidden/>
          </w:rPr>
          <w:tab/>
        </w:r>
        <w:r>
          <w:rPr>
            <w:noProof/>
            <w:webHidden/>
          </w:rPr>
          <w:fldChar w:fldCharType="begin"/>
        </w:r>
        <w:r>
          <w:rPr>
            <w:noProof/>
            <w:webHidden/>
          </w:rPr>
          <w:instrText xml:space="preserve"> PAGEREF _Toc222244197 \h </w:instrText>
        </w:r>
        <w:r>
          <w:rPr>
            <w:noProof/>
            <w:webHidden/>
          </w:rPr>
        </w:r>
        <w:r>
          <w:rPr>
            <w:noProof/>
            <w:webHidden/>
          </w:rPr>
          <w:fldChar w:fldCharType="separate"/>
        </w:r>
        <w:r>
          <w:rPr>
            <w:noProof/>
            <w:webHidden/>
          </w:rPr>
          <w:t>23</w:t>
        </w:r>
        <w:r>
          <w:rPr>
            <w:noProof/>
            <w:webHidden/>
          </w:rPr>
          <w:fldChar w:fldCharType="end"/>
        </w:r>
      </w:hyperlink>
    </w:p>
    <w:p w14:paraId="063388AD" w14:textId="5EE44DB9"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98" w:history="1">
        <w:r w:rsidRPr="00E70D19">
          <w:rPr>
            <w:rStyle w:val="Lienhypertexte"/>
            <w:noProof/>
          </w:rPr>
          <w:t>Article 11.4-</w:t>
        </w:r>
        <w:r>
          <w:rPr>
            <w:rFonts w:eastAsiaTheme="minorEastAsia"/>
            <w:i w:val="0"/>
            <w:noProof/>
            <w:kern w:val="2"/>
            <w:sz w:val="24"/>
            <w:szCs w:val="24"/>
            <w:lang w:eastAsia="fr-FR"/>
            <w14:ligatures w14:val="standardContextual"/>
          </w:rPr>
          <w:tab/>
        </w:r>
        <w:r w:rsidRPr="00E70D19">
          <w:rPr>
            <w:rStyle w:val="Lienhypertexte"/>
            <w:noProof/>
          </w:rPr>
          <w:t>Délais de paiement</w:t>
        </w:r>
        <w:r>
          <w:rPr>
            <w:noProof/>
            <w:webHidden/>
          </w:rPr>
          <w:tab/>
        </w:r>
        <w:r>
          <w:rPr>
            <w:noProof/>
            <w:webHidden/>
          </w:rPr>
          <w:fldChar w:fldCharType="begin"/>
        </w:r>
        <w:r>
          <w:rPr>
            <w:noProof/>
            <w:webHidden/>
          </w:rPr>
          <w:instrText xml:space="preserve"> PAGEREF _Toc222244198 \h </w:instrText>
        </w:r>
        <w:r>
          <w:rPr>
            <w:noProof/>
            <w:webHidden/>
          </w:rPr>
        </w:r>
        <w:r>
          <w:rPr>
            <w:noProof/>
            <w:webHidden/>
          </w:rPr>
          <w:fldChar w:fldCharType="separate"/>
        </w:r>
        <w:r>
          <w:rPr>
            <w:noProof/>
            <w:webHidden/>
          </w:rPr>
          <w:t>23</w:t>
        </w:r>
        <w:r>
          <w:rPr>
            <w:noProof/>
            <w:webHidden/>
          </w:rPr>
          <w:fldChar w:fldCharType="end"/>
        </w:r>
      </w:hyperlink>
    </w:p>
    <w:p w14:paraId="020F046E" w14:textId="02217E3B"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199" w:history="1">
        <w:r w:rsidRPr="00E70D19">
          <w:rPr>
            <w:rStyle w:val="Lienhypertexte"/>
            <w:noProof/>
          </w:rPr>
          <w:t>Article 11.5-</w:t>
        </w:r>
        <w:r>
          <w:rPr>
            <w:rFonts w:eastAsiaTheme="minorEastAsia"/>
            <w:i w:val="0"/>
            <w:noProof/>
            <w:kern w:val="2"/>
            <w:sz w:val="24"/>
            <w:szCs w:val="24"/>
            <w:lang w:eastAsia="fr-FR"/>
            <w14:ligatures w14:val="standardContextual"/>
          </w:rPr>
          <w:tab/>
        </w:r>
        <w:r w:rsidRPr="00E70D19">
          <w:rPr>
            <w:rStyle w:val="Lienhypertexte"/>
            <w:noProof/>
          </w:rPr>
          <w:t>Demandes de paiement</w:t>
        </w:r>
        <w:r>
          <w:rPr>
            <w:noProof/>
            <w:webHidden/>
          </w:rPr>
          <w:tab/>
        </w:r>
        <w:r>
          <w:rPr>
            <w:noProof/>
            <w:webHidden/>
          </w:rPr>
          <w:fldChar w:fldCharType="begin"/>
        </w:r>
        <w:r>
          <w:rPr>
            <w:noProof/>
            <w:webHidden/>
          </w:rPr>
          <w:instrText xml:space="preserve"> PAGEREF _Toc222244199 \h </w:instrText>
        </w:r>
        <w:r>
          <w:rPr>
            <w:noProof/>
            <w:webHidden/>
          </w:rPr>
        </w:r>
        <w:r>
          <w:rPr>
            <w:noProof/>
            <w:webHidden/>
          </w:rPr>
          <w:fldChar w:fldCharType="separate"/>
        </w:r>
        <w:r>
          <w:rPr>
            <w:noProof/>
            <w:webHidden/>
          </w:rPr>
          <w:t>23</w:t>
        </w:r>
        <w:r>
          <w:rPr>
            <w:noProof/>
            <w:webHidden/>
          </w:rPr>
          <w:fldChar w:fldCharType="end"/>
        </w:r>
      </w:hyperlink>
    </w:p>
    <w:p w14:paraId="1529B08D" w14:textId="0C35934E"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0" w:history="1">
        <w:r w:rsidRPr="00E70D19">
          <w:rPr>
            <w:rStyle w:val="Lienhypertexte"/>
            <w:noProof/>
          </w:rPr>
          <w:t>Article 11.6-</w:t>
        </w:r>
        <w:r>
          <w:rPr>
            <w:rFonts w:eastAsiaTheme="minorEastAsia"/>
            <w:i w:val="0"/>
            <w:noProof/>
            <w:kern w:val="2"/>
            <w:sz w:val="24"/>
            <w:szCs w:val="24"/>
            <w:lang w:eastAsia="fr-FR"/>
            <w14:ligatures w14:val="standardContextual"/>
          </w:rPr>
          <w:tab/>
        </w:r>
        <w:r w:rsidRPr="00E70D19">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_Toc222244200 \h </w:instrText>
        </w:r>
        <w:r>
          <w:rPr>
            <w:noProof/>
            <w:webHidden/>
          </w:rPr>
        </w:r>
        <w:r>
          <w:rPr>
            <w:noProof/>
            <w:webHidden/>
          </w:rPr>
          <w:fldChar w:fldCharType="separate"/>
        </w:r>
        <w:r>
          <w:rPr>
            <w:noProof/>
            <w:webHidden/>
          </w:rPr>
          <w:t>24</w:t>
        </w:r>
        <w:r>
          <w:rPr>
            <w:noProof/>
            <w:webHidden/>
          </w:rPr>
          <w:fldChar w:fldCharType="end"/>
        </w:r>
      </w:hyperlink>
    </w:p>
    <w:p w14:paraId="7B66DABA" w14:textId="648D657F"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1" w:history="1">
        <w:r w:rsidRPr="00E70D19">
          <w:rPr>
            <w:rStyle w:val="Lienhypertexte"/>
            <w:noProof/>
          </w:rPr>
          <w:t>Article 11.7-</w:t>
        </w:r>
        <w:r>
          <w:rPr>
            <w:rFonts w:eastAsiaTheme="minorEastAsia"/>
            <w:i w:val="0"/>
            <w:noProof/>
            <w:kern w:val="2"/>
            <w:sz w:val="24"/>
            <w:szCs w:val="24"/>
            <w:lang w:eastAsia="fr-FR"/>
            <w14:ligatures w14:val="standardContextual"/>
          </w:rPr>
          <w:tab/>
        </w:r>
        <w:r w:rsidRPr="00E70D19">
          <w:rPr>
            <w:rStyle w:val="Lienhypertexte"/>
            <w:noProof/>
          </w:rPr>
          <w:t>Intérêts moratoires</w:t>
        </w:r>
        <w:r>
          <w:rPr>
            <w:noProof/>
            <w:webHidden/>
          </w:rPr>
          <w:tab/>
        </w:r>
        <w:r>
          <w:rPr>
            <w:noProof/>
            <w:webHidden/>
          </w:rPr>
          <w:fldChar w:fldCharType="begin"/>
        </w:r>
        <w:r>
          <w:rPr>
            <w:noProof/>
            <w:webHidden/>
          </w:rPr>
          <w:instrText xml:space="preserve"> PAGEREF _Toc222244201 \h </w:instrText>
        </w:r>
        <w:r>
          <w:rPr>
            <w:noProof/>
            <w:webHidden/>
          </w:rPr>
        </w:r>
        <w:r>
          <w:rPr>
            <w:noProof/>
            <w:webHidden/>
          </w:rPr>
          <w:fldChar w:fldCharType="separate"/>
        </w:r>
        <w:r>
          <w:rPr>
            <w:noProof/>
            <w:webHidden/>
          </w:rPr>
          <w:t>25</w:t>
        </w:r>
        <w:r>
          <w:rPr>
            <w:noProof/>
            <w:webHidden/>
          </w:rPr>
          <w:fldChar w:fldCharType="end"/>
        </w:r>
      </w:hyperlink>
    </w:p>
    <w:p w14:paraId="33E209AE" w14:textId="6648E9E2"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2" w:history="1">
        <w:r w:rsidRPr="00E70D19">
          <w:rPr>
            <w:rStyle w:val="Lienhypertexte"/>
            <w:noProof/>
          </w:rPr>
          <w:t>Article 11.8-</w:t>
        </w:r>
        <w:r>
          <w:rPr>
            <w:rFonts w:eastAsiaTheme="minorEastAsia"/>
            <w:i w:val="0"/>
            <w:noProof/>
            <w:kern w:val="2"/>
            <w:sz w:val="24"/>
            <w:szCs w:val="24"/>
            <w:lang w:eastAsia="fr-FR"/>
            <w14:ligatures w14:val="standardContextual"/>
          </w:rPr>
          <w:tab/>
        </w:r>
        <w:r w:rsidRPr="00E70D19">
          <w:rPr>
            <w:rStyle w:val="Lienhypertexte"/>
            <w:noProof/>
          </w:rPr>
          <w:t>Mode de règlement</w:t>
        </w:r>
        <w:r>
          <w:rPr>
            <w:noProof/>
            <w:webHidden/>
          </w:rPr>
          <w:tab/>
        </w:r>
        <w:r>
          <w:rPr>
            <w:noProof/>
            <w:webHidden/>
          </w:rPr>
          <w:fldChar w:fldCharType="begin"/>
        </w:r>
        <w:r>
          <w:rPr>
            <w:noProof/>
            <w:webHidden/>
          </w:rPr>
          <w:instrText xml:space="preserve"> PAGEREF _Toc222244202 \h </w:instrText>
        </w:r>
        <w:r>
          <w:rPr>
            <w:noProof/>
            <w:webHidden/>
          </w:rPr>
        </w:r>
        <w:r>
          <w:rPr>
            <w:noProof/>
            <w:webHidden/>
          </w:rPr>
          <w:fldChar w:fldCharType="separate"/>
        </w:r>
        <w:r>
          <w:rPr>
            <w:noProof/>
            <w:webHidden/>
          </w:rPr>
          <w:t>25</w:t>
        </w:r>
        <w:r>
          <w:rPr>
            <w:noProof/>
            <w:webHidden/>
          </w:rPr>
          <w:fldChar w:fldCharType="end"/>
        </w:r>
      </w:hyperlink>
    </w:p>
    <w:p w14:paraId="019A38A6" w14:textId="6612CA26" w:rsidR="00DB091B" w:rsidRDefault="00DB091B">
      <w:pPr>
        <w:pStyle w:val="TM1"/>
        <w:rPr>
          <w:rFonts w:eastAsiaTheme="minorEastAsia"/>
          <w:b w:val="0"/>
          <w:noProof/>
          <w:kern w:val="2"/>
          <w:sz w:val="24"/>
          <w:szCs w:val="24"/>
          <w:lang w:eastAsia="fr-FR"/>
          <w14:ligatures w14:val="standardContextual"/>
        </w:rPr>
      </w:pPr>
      <w:hyperlink w:anchor="_Toc222244203" w:history="1">
        <w:r w:rsidRPr="00E70D19">
          <w:rPr>
            <w:rStyle w:val="Lienhypertexte"/>
            <w:noProof/>
          </w:rPr>
          <w:t>ARTICLE 12-</w:t>
        </w:r>
        <w:r>
          <w:rPr>
            <w:rFonts w:eastAsiaTheme="minorEastAsia"/>
            <w:b w:val="0"/>
            <w:noProof/>
            <w:kern w:val="2"/>
            <w:sz w:val="24"/>
            <w:szCs w:val="24"/>
            <w:lang w:eastAsia="fr-FR"/>
            <w14:ligatures w14:val="standardContextual"/>
          </w:rPr>
          <w:tab/>
        </w:r>
        <w:r w:rsidRPr="00E70D19">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_Toc222244203 \h </w:instrText>
        </w:r>
        <w:r>
          <w:rPr>
            <w:noProof/>
            <w:webHidden/>
          </w:rPr>
        </w:r>
        <w:r>
          <w:rPr>
            <w:noProof/>
            <w:webHidden/>
          </w:rPr>
          <w:fldChar w:fldCharType="separate"/>
        </w:r>
        <w:r>
          <w:rPr>
            <w:noProof/>
            <w:webHidden/>
          </w:rPr>
          <w:t>27</w:t>
        </w:r>
        <w:r>
          <w:rPr>
            <w:noProof/>
            <w:webHidden/>
          </w:rPr>
          <w:fldChar w:fldCharType="end"/>
        </w:r>
      </w:hyperlink>
    </w:p>
    <w:p w14:paraId="147BE304" w14:textId="700CAF12" w:rsidR="00DB091B" w:rsidRDefault="00DB091B">
      <w:pPr>
        <w:pStyle w:val="TM1"/>
        <w:rPr>
          <w:rFonts w:eastAsiaTheme="minorEastAsia"/>
          <w:b w:val="0"/>
          <w:noProof/>
          <w:kern w:val="2"/>
          <w:sz w:val="24"/>
          <w:szCs w:val="24"/>
          <w:lang w:eastAsia="fr-FR"/>
          <w14:ligatures w14:val="standardContextual"/>
        </w:rPr>
      </w:pPr>
      <w:hyperlink w:anchor="_Toc222244204" w:history="1">
        <w:r w:rsidRPr="00E70D19">
          <w:rPr>
            <w:rStyle w:val="Lienhypertexte"/>
            <w:noProof/>
          </w:rPr>
          <w:t>ARTICLE 13-</w:t>
        </w:r>
        <w:r>
          <w:rPr>
            <w:rFonts w:eastAsiaTheme="minorEastAsia"/>
            <w:b w:val="0"/>
            <w:noProof/>
            <w:kern w:val="2"/>
            <w:sz w:val="24"/>
            <w:szCs w:val="24"/>
            <w:lang w:eastAsia="fr-FR"/>
            <w14:ligatures w14:val="standardContextual"/>
          </w:rPr>
          <w:tab/>
        </w:r>
        <w:r w:rsidRPr="00E70D19">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_Toc222244204 \h </w:instrText>
        </w:r>
        <w:r>
          <w:rPr>
            <w:noProof/>
            <w:webHidden/>
          </w:rPr>
        </w:r>
        <w:r>
          <w:rPr>
            <w:noProof/>
            <w:webHidden/>
          </w:rPr>
          <w:fldChar w:fldCharType="separate"/>
        </w:r>
        <w:r>
          <w:rPr>
            <w:noProof/>
            <w:webHidden/>
          </w:rPr>
          <w:t>27</w:t>
        </w:r>
        <w:r>
          <w:rPr>
            <w:noProof/>
            <w:webHidden/>
          </w:rPr>
          <w:fldChar w:fldCharType="end"/>
        </w:r>
      </w:hyperlink>
    </w:p>
    <w:p w14:paraId="6FC0D875" w14:textId="29A87BD8"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5" w:history="1">
        <w:r w:rsidRPr="00E70D19">
          <w:rPr>
            <w:rStyle w:val="Lienhypertexte"/>
            <w:noProof/>
          </w:rPr>
          <w:t>Article 13.1-</w:t>
        </w:r>
        <w:r>
          <w:rPr>
            <w:rFonts w:eastAsiaTheme="minorEastAsia"/>
            <w:i w:val="0"/>
            <w:noProof/>
            <w:kern w:val="2"/>
            <w:sz w:val="24"/>
            <w:szCs w:val="24"/>
            <w:lang w:eastAsia="fr-FR"/>
            <w14:ligatures w14:val="standardContextual"/>
          </w:rPr>
          <w:tab/>
        </w:r>
        <w:r w:rsidRPr="00E70D19">
          <w:rPr>
            <w:rStyle w:val="Lienhypertexte"/>
            <w:noProof/>
          </w:rPr>
          <w:t>Obligation de résultat</w:t>
        </w:r>
        <w:r>
          <w:rPr>
            <w:noProof/>
            <w:webHidden/>
          </w:rPr>
          <w:tab/>
        </w:r>
        <w:r>
          <w:rPr>
            <w:noProof/>
            <w:webHidden/>
          </w:rPr>
          <w:fldChar w:fldCharType="begin"/>
        </w:r>
        <w:r>
          <w:rPr>
            <w:noProof/>
            <w:webHidden/>
          </w:rPr>
          <w:instrText xml:space="preserve"> PAGEREF _Toc222244205 \h </w:instrText>
        </w:r>
        <w:r>
          <w:rPr>
            <w:noProof/>
            <w:webHidden/>
          </w:rPr>
        </w:r>
        <w:r>
          <w:rPr>
            <w:noProof/>
            <w:webHidden/>
          </w:rPr>
          <w:fldChar w:fldCharType="separate"/>
        </w:r>
        <w:r>
          <w:rPr>
            <w:noProof/>
            <w:webHidden/>
          </w:rPr>
          <w:t>27</w:t>
        </w:r>
        <w:r>
          <w:rPr>
            <w:noProof/>
            <w:webHidden/>
          </w:rPr>
          <w:fldChar w:fldCharType="end"/>
        </w:r>
      </w:hyperlink>
    </w:p>
    <w:p w14:paraId="543CFB33" w14:textId="0CD6BFEB"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6" w:history="1">
        <w:r w:rsidRPr="00E70D19">
          <w:rPr>
            <w:rStyle w:val="Lienhypertexte"/>
            <w:noProof/>
          </w:rPr>
          <w:t>Article 13.2-</w:t>
        </w:r>
        <w:r>
          <w:rPr>
            <w:rFonts w:eastAsiaTheme="minorEastAsia"/>
            <w:i w:val="0"/>
            <w:noProof/>
            <w:kern w:val="2"/>
            <w:sz w:val="24"/>
            <w:szCs w:val="24"/>
            <w:lang w:eastAsia="fr-FR"/>
            <w14:ligatures w14:val="standardContextual"/>
          </w:rPr>
          <w:tab/>
        </w:r>
        <w:r w:rsidRPr="00E70D19">
          <w:rPr>
            <w:rStyle w:val="Lienhypertexte"/>
            <w:noProof/>
          </w:rPr>
          <w:t>Confidentialité</w:t>
        </w:r>
        <w:r>
          <w:rPr>
            <w:noProof/>
            <w:webHidden/>
          </w:rPr>
          <w:tab/>
        </w:r>
        <w:r>
          <w:rPr>
            <w:noProof/>
            <w:webHidden/>
          </w:rPr>
          <w:fldChar w:fldCharType="begin"/>
        </w:r>
        <w:r>
          <w:rPr>
            <w:noProof/>
            <w:webHidden/>
          </w:rPr>
          <w:instrText xml:space="preserve"> PAGEREF _Toc222244206 \h </w:instrText>
        </w:r>
        <w:r>
          <w:rPr>
            <w:noProof/>
            <w:webHidden/>
          </w:rPr>
        </w:r>
        <w:r>
          <w:rPr>
            <w:noProof/>
            <w:webHidden/>
          </w:rPr>
          <w:fldChar w:fldCharType="separate"/>
        </w:r>
        <w:r>
          <w:rPr>
            <w:noProof/>
            <w:webHidden/>
          </w:rPr>
          <w:t>27</w:t>
        </w:r>
        <w:r>
          <w:rPr>
            <w:noProof/>
            <w:webHidden/>
          </w:rPr>
          <w:fldChar w:fldCharType="end"/>
        </w:r>
      </w:hyperlink>
    </w:p>
    <w:p w14:paraId="427DAAF8" w14:textId="3B49147A"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7" w:history="1">
        <w:r w:rsidRPr="00E70D19">
          <w:rPr>
            <w:rStyle w:val="Lienhypertexte"/>
            <w:noProof/>
          </w:rPr>
          <w:t>Article 13.3-</w:t>
        </w:r>
        <w:r>
          <w:rPr>
            <w:rFonts w:eastAsiaTheme="minorEastAsia"/>
            <w:i w:val="0"/>
            <w:noProof/>
            <w:kern w:val="2"/>
            <w:sz w:val="24"/>
            <w:szCs w:val="24"/>
            <w:lang w:eastAsia="fr-FR"/>
            <w14:ligatures w14:val="standardContextual"/>
          </w:rPr>
          <w:tab/>
        </w:r>
        <w:r w:rsidRPr="00E70D19">
          <w:rPr>
            <w:rStyle w:val="Lienhypertexte"/>
            <w:noProof/>
          </w:rPr>
          <w:t>Secret professionnel</w:t>
        </w:r>
        <w:r>
          <w:rPr>
            <w:noProof/>
            <w:webHidden/>
          </w:rPr>
          <w:tab/>
        </w:r>
        <w:r>
          <w:rPr>
            <w:noProof/>
            <w:webHidden/>
          </w:rPr>
          <w:fldChar w:fldCharType="begin"/>
        </w:r>
        <w:r>
          <w:rPr>
            <w:noProof/>
            <w:webHidden/>
          </w:rPr>
          <w:instrText xml:space="preserve"> PAGEREF _Toc222244207 \h </w:instrText>
        </w:r>
        <w:r>
          <w:rPr>
            <w:noProof/>
            <w:webHidden/>
          </w:rPr>
        </w:r>
        <w:r>
          <w:rPr>
            <w:noProof/>
            <w:webHidden/>
          </w:rPr>
          <w:fldChar w:fldCharType="separate"/>
        </w:r>
        <w:r>
          <w:rPr>
            <w:noProof/>
            <w:webHidden/>
          </w:rPr>
          <w:t>28</w:t>
        </w:r>
        <w:r>
          <w:rPr>
            <w:noProof/>
            <w:webHidden/>
          </w:rPr>
          <w:fldChar w:fldCharType="end"/>
        </w:r>
      </w:hyperlink>
    </w:p>
    <w:p w14:paraId="6A14C4F5" w14:textId="7DE9C337"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8" w:history="1">
        <w:r w:rsidRPr="00E70D19">
          <w:rPr>
            <w:rStyle w:val="Lienhypertexte"/>
            <w:noProof/>
          </w:rPr>
          <w:t>Article 13.4-</w:t>
        </w:r>
        <w:r>
          <w:rPr>
            <w:rFonts w:eastAsiaTheme="minorEastAsia"/>
            <w:i w:val="0"/>
            <w:noProof/>
            <w:kern w:val="2"/>
            <w:sz w:val="24"/>
            <w:szCs w:val="24"/>
            <w:lang w:eastAsia="fr-FR"/>
            <w14:ligatures w14:val="standardContextual"/>
          </w:rPr>
          <w:tab/>
        </w:r>
        <w:r w:rsidRPr="00E70D19">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_Toc222244208 \h </w:instrText>
        </w:r>
        <w:r>
          <w:rPr>
            <w:noProof/>
            <w:webHidden/>
          </w:rPr>
        </w:r>
        <w:r>
          <w:rPr>
            <w:noProof/>
            <w:webHidden/>
          </w:rPr>
          <w:fldChar w:fldCharType="separate"/>
        </w:r>
        <w:r>
          <w:rPr>
            <w:noProof/>
            <w:webHidden/>
          </w:rPr>
          <w:t>28</w:t>
        </w:r>
        <w:r>
          <w:rPr>
            <w:noProof/>
            <w:webHidden/>
          </w:rPr>
          <w:fldChar w:fldCharType="end"/>
        </w:r>
      </w:hyperlink>
    </w:p>
    <w:p w14:paraId="39D4D52E" w14:textId="0455E24B"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09" w:history="1">
        <w:r w:rsidRPr="00E70D19">
          <w:rPr>
            <w:rStyle w:val="Lienhypertexte"/>
            <w:noProof/>
          </w:rPr>
          <w:t>Article 13.5-</w:t>
        </w:r>
        <w:r>
          <w:rPr>
            <w:rFonts w:eastAsiaTheme="minorEastAsia"/>
            <w:i w:val="0"/>
            <w:noProof/>
            <w:kern w:val="2"/>
            <w:sz w:val="24"/>
            <w:szCs w:val="24"/>
            <w:lang w:eastAsia="fr-FR"/>
            <w14:ligatures w14:val="standardContextual"/>
          </w:rPr>
          <w:tab/>
        </w:r>
        <w:r w:rsidRPr="00E70D19">
          <w:rPr>
            <w:rStyle w:val="Lienhypertexte"/>
            <w:noProof/>
          </w:rPr>
          <w:t>Responsabilité du titulaire</w:t>
        </w:r>
        <w:r>
          <w:rPr>
            <w:noProof/>
            <w:webHidden/>
          </w:rPr>
          <w:tab/>
        </w:r>
        <w:r>
          <w:rPr>
            <w:noProof/>
            <w:webHidden/>
          </w:rPr>
          <w:fldChar w:fldCharType="begin"/>
        </w:r>
        <w:r>
          <w:rPr>
            <w:noProof/>
            <w:webHidden/>
          </w:rPr>
          <w:instrText xml:space="preserve"> PAGEREF _Toc222244209 \h </w:instrText>
        </w:r>
        <w:r>
          <w:rPr>
            <w:noProof/>
            <w:webHidden/>
          </w:rPr>
        </w:r>
        <w:r>
          <w:rPr>
            <w:noProof/>
            <w:webHidden/>
          </w:rPr>
          <w:fldChar w:fldCharType="separate"/>
        </w:r>
        <w:r>
          <w:rPr>
            <w:noProof/>
            <w:webHidden/>
          </w:rPr>
          <w:t>28</w:t>
        </w:r>
        <w:r>
          <w:rPr>
            <w:noProof/>
            <w:webHidden/>
          </w:rPr>
          <w:fldChar w:fldCharType="end"/>
        </w:r>
      </w:hyperlink>
    </w:p>
    <w:p w14:paraId="350307F3" w14:textId="706C6E3A"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0" w:history="1">
        <w:r w:rsidRPr="00E70D19">
          <w:rPr>
            <w:rStyle w:val="Lienhypertexte"/>
            <w:noProof/>
          </w:rPr>
          <w:t>Article 13.6-</w:t>
        </w:r>
        <w:r>
          <w:rPr>
            <w:rFonts w:eastAsiaTheme="minorEastAsia"/>
            <w:i w:val="0"/>
            <w:noProof/>
            <w:kern w:val="2"/>
            <w:sz w:val="24"/>
            <w:szCs w:val="24"/>
            <w:lang w:eastAsia="fr-FR"/>
            <w14:ligatures w14:val="standardContextual"/>
          </w:rPr>
          <w:tab/>
        </w:r>
        <w:r w:rsidRPr="00E70D19">
          <w:rPr>
            <w:rStyle w:val="Lienhypertexte"/>
            <w:noProof/>
          </w:rPr>
          <w:t>Protection de l’environnement</w:t>
        </w:r>
        <w:r>
          <w:rPr>
            <w:noProof/>
            <w:webHidden/>
          </w:rPr>
          <w:tab/>
        </w:r>
        <w:r>
          <w:rPr>
            <w:noProof/>
            <w:webHidden/>
          </w:rPr>
          <w:fldChar w:fldCharType="begin"/>
        </w:r>
        <w:r>
          <w:rPr>
            <w:noProof/>
            <w:webHidden/>
          </w:rPr>
          <w:instrText xml:space="preserve"> PAGEREF _Toc222244210 \h </w:instrText>
        </w:r>
        <w:r>
          <w:rPr>
            <w:noProof/>
            <w:webHidden/>
          </w:rPr>
        </w:r>
        <w:r>
          <w:rPr>
            <w:noProof/>
            <w:webHidden/>
          </w:rPr>
          <w:fldChar w:fldCharType="separate"/>
        </w:r>
        <w:r>
          <w:rPr>
            <w:noProof/>
            <w:webHidden/>
          </w:rPr>
          <w:t>28</w:t>
        </w:r>
        <w:r>
          <w:rPr>
            <w:noProof/>
            <w:webHidden/>
          </w:rPr>
          <w:fldChar w:fldCharType="end"/>
        </w:r>
      </w:hyperlink>
    </w:p>
    <w:p w14:paraId="5054BEA2" w14:textId="0BE51938"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1" w:history="1">
        <w:r w:rsidRPr="00E70D19">
          <w:rPr>
            <w:rStyle w:val="Lienhypertexte"/>
            <w:noProof/>
          </w:rPr>
          <w:t>Article 13.7-</w:t>
        </w:r>
        <w:r>
          <w:rPr>
            <w:rFonts w:eastAsiaTheme="minorEastAsia"/>
            <w:i w:val="0"/>
            <w:noProof/>
            <w:kern w:val="2"/>
            <w:sz w:val="24"/>
            <w:szCs w:val="24"/>
            <w:lang w:eastAsia="fr-FR"/>
            <w14:ligatures w14:val="standardContextual"/>
          </w:rPr>
          <w:tab/>
        </w:r>
        <w:r w:rsidRPr="00E70D19">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_Toc222244211 \h </w:instrText>
        </w:r>
        <w:r>
          <w:rPr>
            <w:noProof/>
            <w:webHidden/>
          </w:rPr>
        </w:r>
        <w:r>
          <w:rPr>
            <w:noProof/>
            <w:webHidden/>
          </w:rPr>
          <w:fldChar w:fldCharType="separate"/>
        </w:r>
        <w:r>
          <w:rPr>
            <w:noProof/>
            <w:webHidden/>
          </w:rPr>
          <w:t>29</w:t>
        </w:r>
        <w:r>
          <w:rPr>
            <w:noProof/>
            <w:webHidden/>
          </w:rPr>
          <w:fldChar w:fldCharType="end"/>
        </w:r>
      </w:hyperlink>
    </w:p>
    <w:p w14:paraId="5E222005" w14:textId="344D6932"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2" w:history="1">
        <w:r w:rsidRPr="00E70D19">
          <w:rPr>
            <w:rStyle w:val="Lienhypertexte"/>
            <w:noProof/>
          </w:rPr>
          <w:t>Article 13.8-</w:t>
        </w:r>
        <w:r>
          <w:rPr>
            <w:rFonts w:eastAsiaTheme="minorEastAsia"/>
            <w:i w:val="0"/>
            <w:noProof/>
            <w:kern w:val="2"/>
            <w:sz w:val="24"/>
            <w:szCs w:val="24"/>
            <w:lang w:eastAsia="fr-FR"/>
            <w14:ligatures w14:val="standardContextual"/>
          </w:rPr>
          <w:tab/>
        </w:r>
        <w:r w:rsidRPr="00E70D19">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_Toc222244212 \h </w:instrText>
        </w:r>
        <w:r>
          <w:rPr>
            <w:noProof/>
            <w:webHidden/>
          </w:rPr>
        </w:r>
        <w:r>
          <w:rPr>
            <w:noProof/>
            <w:webHidden/>
          </w:rPr>
          <w:fldChar w:fldCharType="separate"/>
        </w:r>
        <w:r>
          <w:rPr>
            <w:noProof/>
            <w:webHidden/>
          </w:rPr>
          <w:t>29</w:t>
        </w:r>
        <w:r>
          <w:rPr>
            <w:noProof/>
            <w:webHidden/>
          </w:rPr>
          <w:fldChar w:fldCharType="end"/>
        </w:r>
      </w:hyperlink>
    </w:p>
    <w:p w14:paraId="5E33517B" w14:textId="02F03682"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3" w:history="1">
        <w:r w:rsidRPr="00E70D19">
          <w:rPr>
            <w:rStyle w:val="Lienhypertexte"/>
            <w:noProof/>
          </w:rPr>
          <w:t>Article 13.9-</w:t>
        </w:r>
        <w:r>
          <w:rPr>
            <w:rFonts w:eastAsiaTheme="minorEastAsia"/>
            <w:i w:val="0"/>
            <w:noProof/>
            <w:kern w:val="2"/>
            <w:sz w:val="24"/>
            <w:szCs w:val="24"/>
            <w:lang w:eastAsia="fr-FR"/>
            <w14:ligatures w14:val="standardContextual"/>
          </w:rPr>
          <w:tab/>
        </w:r>
        <w:r w:rsidRPr="00E70D19">
          <w:rPr>
            <w:rStyle w:val="Lienhypertexte"/>
            <w:noProof/>
          </w:rPr>
          <w:t>Devoir de conseil</w:t>
        </w:r>
        <w:r>
          <w:rPr>
            <w:noProof/>
            <w:webHidden/>
          </w:rPr>
          <w:tab/>
        </w:r>
        <w:r>
          <w:rPr>
            <w:noProof/>
            <w:webHidden/>
          </w:rPr>
          <w:fldChar w:fldCharType="begin"/>
        </w:r>
        <w:r>
          <w:rPr>
            <w:noProof/>
            <w:webHidden/>
          </w:rPr>
          <w:instrText xml:space="preserve"> PAGEREF _Toc222244213 \h </w:instrText>
        </w:r>
        <w:r>
          <w:rPr>
            <w:noProof/>
            <w:webHidden/>
          </w:rPr>
        </w:r>
        <w:r>
          <w:rPr>
            <w:noProof/>
            <w:webHidden/>
          </w:rPr>
          <w:fldChar w:fldCharType="separate"/>
        </w:r>
        <w:r>
          <w:rPr>
            <w:noProof/>
            <w:webHidden/>
          </w:rPr>
          <w:t>29</w:t>
        </w:r>
        <w:r>
          <w:rPr>
            <w:noProof/>
            <w:webHidden/>
          </w:rPr>
          <w:fldChar w:fldCharType="end"/>
        </w:r>
      </w:hyperlink>
    </w:p>
    <w:p w14:paraId="71C9CA93" w14:textId="2C1C72F7"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4" w:history="1">
        <w:r w:rsidRPr="00E70D19">
          <w:rPr>
            <w:rStyle w:val="Lienhypertexte"/>
            <w:noProof/>
          </w:rPr>
          <w:t>Article 13.10-</w:t>
        </w:r>
        <w:r>
          <w:rPr>
            <w:rFonts w:eastAsiaTheme="minorEastAsia"/>
            <w:i w:val="0"/>
            <w:noProof/>
            <w:kern w:val="2"/>
            <w:sz w:val="24"/>
            <w:szCs w:val="24"/>
            <w:lang w:eastAsia="fr-FR"/>
            <w14:ligatures w14:val="standardContextual"/>
          </w:rPr>
          <w:tab/>
        </w:r>
        <w:r w:rsidRPr="00E70D19">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_Toc222244214 \h </w:instrText>
        </w:r>
        <w:r>
          <w:rPr>
            <w:noProof/>
            <w:webHidden/>
          </w:rPr>
        </w:r>
        <w:r>
          <w:rPr>
            <w:noProof/>
            <w:webHidden/>
          </w:rPr>
          <w:fldChar w:fldCharType="separate"/>
        </w:r>
        <w:r>
          <w:rPr>
            <w:noProof/>
            <w:webHidden/>
          </w:rPr>
          <w:t>29</w:t>
        </w:r>
        <w:r>
          <w:rPr>
            <w:noProof/>
            <w:webHidden/>
          </w:rPr>
          <w:fldChar w:fldCharType="end"/>
        </w:r>
      </w:hyperlink>
    </w:p>
    <w:p w14:paraId="656D6302" w14:textId="108280C3" w:rsidR="00DB091B" w:rsidRDefault="00DB091B">
      <w:pPr>
        <w:pStyle w:val="TM1"/>
        <w:rPr>
          <w:rFonts w:eastAsiaTheme="minorEastAsia"/>
          <w:b w:val="0"/>
          <w:noProof/>
          <w:kern w:val="2"/>
          <w:sz w:val="24"/>
          <w:szCs w:val="24"/>
          <w:lang w:eastAsia="fr-FR"/>
          <w14:ligatures w14:val="standardContextual"/>
        </w:rPr>
      </w:pPr>
      <w:hyperlink w:anchor="_Toc222244215" w:history="1">
        <w:r w:rsidRPr="00E70D19">
          <w:rPr>
            <w:rStyle w:val="Lienhypertexte"/>
            <w:noProof/>
          </w:rPr>
          <w:t>ARTICLE 14-</w:t>
        </w:r>
        <w:r>
          <w:rPr>
            <w:rFonts w:eastAsiaTheme="minorEastAsia"/>
            <w:b w:val="0"/>
            <w:noProof/>
            <w:kern w:val="2"/>
            <w:sz w:val="24"/>
            <w:szCs w:val="24"/>
            <w:lang w:eastAsia="fr-FR"/>
            <w14:ligatures w14:val="standardContextual"/>
          </w:rPr>
          <w:tab/>
        </w:r>
        <w:r w:rsidRPr="00E70D19">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_Toc222244215 \h </w:instrText>
        </w:r>
        <w:r>
          <w:rPr>
            <w:noProof/>
            <w:webHidden/>
          </w:rPr>
        </w:r>
        <w:r>
          <w:rPr>
            <w:noProof/>
            <w:webHidden/>
          </w:rPr>
          <w:fldChar w:fldCharType="separate"/>
        </w:r>
        <w:r>
          <w:rPr>
            <w:noProof/>
            <w:webHidden/>
          </w:rPr>
          <w:t>29</w:t>
        </w:r>
        <w:r>
          <w:rPr>
            <w:noProof/>
            <w:webHidden/>
          </w:rPr>
          <w:fldChar w:fldCharType="end"/>
        </w:r>
      </w:hyperlink>
    </w:p>
    <w:p w14:paraId="307C3C70" w14:textId="01E4CA82"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6" w:history="1">
        <w:r w:rsidRPr="00E70D19">
          <w:rPr>
            <w:rStyle w:val="Lienhypertexte"/>
            <w:noProof/>
          </w:rPr>
          <w:t>Article 14.1-</w:t>
        </w:r>
        <w:r>
          <w:rPr>
            <w:rFonts w:eastAsiaTheme="minorEastAsia"/>
            <w:i w:val="0"/>
            <w:noProof/>
            <w:kern w:val="2"/>
            <w:sz w:val="24"/>
            <w:szCs w:val="24"/>
            <w:lang w:eastAsia="fr-FR"/>
            <w14:ligatures w14:val="standardContextual"/>
          </w:rPr>
          <w:tab/>
        </w:r>
        <w:r w:rsidRPr="00E70D19">
          <w:rPr>
            <w:rStyle w:val="Lienhypertexte"/>
            <w:noProof/>
          </w:rPr>
          <w:t>Traitements de données à caractère personnel nécessaires à la réalisation des prestations</w:t>
        </w:r>
        <w:r>
          <w:rPr>
            <w:noProof/>
            <w:webHidden/>
          </w:rPr>
          <w:tab/>
        </w:r>
        <w:r>
          <w:rPr>
            <w:noProof/>
            <w:webHidden/>
          </w:rPr>
          <w:fldChar w:fldCharType="begin"/>
        </w:r>
        <w:r>
          <w:rPr>
            <w:noProof/>
            <w:webHidden/>
          </w:rPr>
          <w:instrText xml:space="preserve"> PAGEREF _Toc222244216 \h </w:instrText>
        </w:r>
        <w:r>
          <w:rPr>
            <w:noProof/>
            <w:webHidden/>
          </w:rPr>
        </w:r>
        <w:r>
          <w:rPr>
            <w:noProof/>
            <w:webHidden/>
          </w:rPr>
          <w:fldChar w:fldCharType="separate"/>
        </w:r>
        <w:r>
          <w:rPr>
            <w:noProof/>
            <w:webHidden/>
          </w:rPr>
          <w:t>30</w:t>
        </w:r>
        <w:r>
          <w:rPr>
            <w:noProof/>
            <w:webHidden/>
          </w:rPr>
          <w:fldChar w:fldCharType="end"/>
        </w:r>
      </w:hyperlink>
    </w:p>
    <w:p w14:paraId="29276011" w14:textId="55A27B65"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7" w:history="1">
        <w:r w:rsidRPr="00E70D19">
          <w:rPr>
            <w:rStyle w:val="Lienhypertexte"/>
            <w:noProof/>
          </w:rPr>
          <w:t>Article 14.2-</w:t>
        </w:r>
        <w:r>
          <w:rPr>
            <w:rFonts w:eastAsiaTheme="minorEastAsia"/>
            <w:i w:val="0"/>
            <w:noProof/>
            <w:kern w:val="2"/>
            <w:sz w:val="24"/>
            <w:szCs w:val="24"/>
            <w:lang w:eastAsia="fr-FR"/>
            <w14:ligatures w14:val="standardContextual"/>
          </w:rPr>
          <w:tab/>
        </w:r>
        <w:r w:rsidRPr="00E70D19">
          <w:rPr>
            <w:rStyle w:val="Lienhypertexte"/>
            <w:noProof/>
          </w:rPr>
          <w:t>Suivi des relations contractuelles</w:t>
        </w:r>
        <w:r>
          <w:rPr>
            <w:noProof/>
            <w:webHidden/>
          </w:rPr>
          <w:tab/>
        </w:r>
        <w:r>
          <w:rPr>
            <w:noProof/>
            <w:webHidden/>
          </w:rPr>
          <w:fldChar w:fldCharType="begin"/>
        </w:r>
        <w:r>
          <w:rPr>
            <w:noProof/>
            <w:webHidden/>
          </w:rPr>
          <w:instrText xml:space="preserve"> PAGEREF _Toc222244217 \h </w:instrText>
        </w:r>
        <w:r>
          <w:rPr>
            <w:noProof/>
            <w:webHidden/>
          </w:rPr>
        </w:r>
        <w:r>
          <w:rPr>
            <w:noProof/>
            <w:webHidden/>
          </w:rPr>
          <w:fldChar w:fldCharType="separate"/>
        </w:r>
        <w:r>
          <w:rPr>
            <w:noProof/>
            <w:webHidden/>
          </w:rPr>
          <w:t>31</w:t>
        </w:r>
        <w:r>
          <w:rPr>
            <w:noProof/>
            <w:webHidden/>
          </w:rPr>
          <w:fldChar w:fldCharType="end"/>
        </w:r>
      </w:hyperlink>
    </w:p>
    <w:p w14:paraId="669D3BAC" w14:textId="14A1D4B9" w:rsidR="00DB091B" w:rsidRDefault="00DB091B">
      <w:pPr>
        <w:pStyle w:val="TM1"/>
        <w:rPr>
          <w:rFonts w:eastAsiaTheme="minorEastAsia"/>
          <w:b w:val="0"/>
          <w:noProof/>
          <w:kern w:val="2"/>
          <w:sz w:val="24"/>
          <w:szCs w:val="24"/>
          <w:lang w:eastAsia="fr-FR"/>
          <w14:ligatures w14:val="standardContextual"/>
        </w:rPr>
      </w:pPr>
      <w:hyperlink w:anchor="_Toc222244218" w:history="1">
        <w:r w:rsidRPr="00E70D19">
          <w:rPr>
            <w:rStyle w:val="Lienhypertexte"/>
            <w:noProof/>
          </w:rPr>
          <w:t>ARTICLE 15-</w:t>
        </w:r>
        <w:r>
          <w:rPr>
            <w:rFonts w:eastAsiaTheme="minorEastAsia"/>
            <w:b w:val="0"/>
            <w:noProof/>
            <w:kern w:val="2"/>
            <w:sz w:val="24"/>
            <w:szCs w:val="24"/>
            <w:lang w:eastAsia="fr-FR"/>
            <w14:ligatures w14:val="standardContextual"/>
          </w:rPr>
          <w:tab/>
        </w:r>
        <w:r w:rsidRPr="00E70D19">
          <w:rPr>
            <w:rStyle w:val="Lienhypertexte"/>
            <w:noProof/>
          </w:rPr>
          <w:t>Pénalités</w:t>
        </w:r>
        <w:r>
          <w:rPr>
            <w:noProof/>
            <w:webHidden/>
          </w:rPr>
          <w:tab/>
        </w:r>
        <w:r>
          <w:rPr>
            <w:noProof/>
            <w:webHidden/>
          </w:rPr>
          <w:fldChar w:fldCharType="begin"/>
        </w:r>
        <w:r>
          <w:rPr>
            <w:noProof/>
            <w:webHidden/>
          </w:rPr>
          <w:instrText xml:space="preserve"> PAGEREF _Toc222244218 \h </w:instrText>
        </w:r>
        <w:r>
          <w:rPr>
            <w:noProof/>
            <w:webHidden/>
          </w:rPr>
        </w:r>
        <w:r>
          <w:rPr>
            <w:noProof/>
            <w:webHidden/>
          </w:rPr>
          <w:fldChar w:fldCharType="separate"/>
        </w:r>
        <w:r>
          <w:rPr>
            <w:noProof/>
            <w:webHidden/>
          </w:rPr>
          <w:t>32</w:t>
        </w:r>
        <w:r>
          <w:rPr>
            <w:noProof/>
            <w:webHidden/>
          </w:rPr>
          <w:fldChar w:fldCharType="end"/>
        </w:r>
      </w:hyperlink>
    </w:p>
    <w:p w14:paraId="39072AF9" w14:textId="54E9F349"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19" w:history="1">
        <w:r w:rsidRPr="00E70D19">
          <w:rPr>
            <w:rStyle w:val="Lienhypertexte"/>
            <w:noProof/>
          </w:rPr>
          <w:t>Article 15.1-</w:t>
        </w:r>
        <w:r>
          <w:rPr>
            <w:rFonts w:eastAsiaTheme="minorEastAsia"/>
            <w:i w:val="0"/>
            <w:noProof/>
            <w:kern w:val="2"/>
            <w:sz w:val="24"/>
            <w:szCs w:val="24"/>
            <w:lang w:eastAsia="fr-FR"/>
            <w14:ligatures w14:val="standardContextual"/>
          </w:rPr>
          <w:tab/>
        </w:r>
        <w:r w:rsidRPr="00E70D19">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_Toc222244219 \h </w:instrText>
        </w:r>
        <w:r>
          <w:rPr>
            <w:noProof/>
            <w:webHidden/>
          </w:rPr>
        </w:r>
        <w:r>
          <w:rPr>
            <w:noProof/>
            <w:webHidden/>
          </w:rPr>
          <w:fldChar w:fldCharType="separate"/>
        </w:r>
        <w:r>
          <w:rPr>
            <w:noProof/>
            <w:webHidden/>
          </w:rPr>
          <w:t>32</w:t>
        </w:r>
        <w:r>
          <w:rPr>
            <w:noProof/>
            <w:webHidden/>
          </w:rPr>
          <w:fldChar w:fldCharType="end"/>
        </w:r>
      </w:hyperlink>
    </w:p>
    <w:p w14:paraId="6308651A" w14:textId="2AA3F5AD"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0" w:history="1">
        <w:r w:rsidRPr="00E70D19">
          <w:rPr>
            <w:rStyle w:val="Lienhypertexte"/>
            <w:noProof/>
          </w:rPr>
          <w:t>Article 15.2-</w:t>
        </w:r>
        <w:r>
          <w:rPr>
            <w:rFonts w:eastAsiaTheme="minorEastAsia"/>
            <w:i w:val="0"/>
            <w:noProof/>
            <w:kern w:val="2"/>
            <w:sz w:val="24"/>
            <w:szCs w:val="24"/>
            <w:lang w:eastAsia="fr-FR"/>
            <w14:ligatures w14:val="standardContextual"/>
          </w:rPr>
          <w:tab/>
        </w:r>
        <w:r w:rsidRPr="00E70D19">
          <w:rPr>
            <w:rStyle w:val="Lienhypertexte"/>
            <w:noProof/>
          </w:rPr>
          <w:t>Pénalités pour indisponibilité</w:t>
        </w:r>
        <w:r>
          <w:rPr>
            <w:noProof/>
            <w:webHidden/>
          </w:rPr>
          <w:tab/>
        </w:r>
        <w:r>
          <w:rPr>
            <w:noProof/>
            <w:webHidden/>
          </w:rPr>
          <w:fldChar w:fldCharType="begin"/>
        </w:r>
        <w:r>
          <w:rPr>
            <w:noProof/>
            <w:webHidden/>
          </w:rPr>
          <w:instrText xml:space="preserve"> PAGEREF _Toc222244220 \h </w:instrText>
        </w:r>
        <w:r>
          <w:rPr>
            <w:noProof/>
            <w:webHidden/>
          </w:rPr>
        </w:r>
        <w:r>
          <w:rPr>
            <w:noProof/>
            <w:webHidden/>
          </w:rPr>
          <w:fldChar w:fldCharType="separate"/>
        </w:r>
        <w:r>
          <w:rPr>
            <w:noProof/>
            <w:webHidden/>
          </w:rPr>
          <w:t>33</w:t>
        </w:r>
        <w:r>
          <w:rPr>
            <w:noProof/>
            <w:webHidden/>
          </w:rPr>
          <w:fldChar w:fldCharType="end"/>
        </w:r>
      </w:hyperlink>
    </w:p>
    <w:p w14:paraId="541B7DB2" w14:textId="07078D1C"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1" w:history="1">
        <w:r w:rsidRPr="00E70D19">
          <w:rPr>
            <w:rStyle w:val="Lienhypertexte"/>
            <w:noProof/>
          </w:rPr>
          <w:t>Article 15.3-</w:t>
        </w:r>
        <w:r>
          <w:rPr>
            <w:rFonts w:eastAsiaTheme="minorEastAsia"/>
            <w:i w:val="0"/>
            <w:noProof/>
            <w:kern w:val="2"/>
            <w:sz w:val="24"/>
            <w:szCs w:val="24"/>
            <w:lang w:eastAsia="fr-FR"/>
            <w14:ligatures w14:val="standardContextual"/>
          </w:rPr>
          <w:tab/>
        </w:r>
        <w:r w:rsidRPr="00E70D19">
          <w:rPr>
            <w:rStyle w:val="Lienhypertexte"/>
            <w:noProof/>
          </w:rPr>
          <w:t>Pénalités relatives à la réversibilité</w:t>
        </w:r>
        <w:r>
          <w:rPr>
            <w:noProof/>
            <w:webHidden/>
          </w:rPr>
          <w:tab/>
        </w:r>
        <w:r>
          <w:rPr>
            <w:noProof/>
            <w:webHidden/>
          </w:rPr>
          <w:fldChar w:fldCharType="begin"/>
        </w:r>
        <w:r>
          <w:rPr>
            <w:noProof/>
            <w:webHidden/>
          </w:rPr>
          <w:instrText xml:space="preserve"> PAGEREF _Toc222244221 \h </w:instrText>
        </w:r>
        <w:r>
          <w:rPr>
            <w:noProof/>
            <w:webHidden/>
          </w:rPr>
        </w:r>
        <w:r>
          <w:rPr>
            <w:noProof/>
            <w:webHidden/>
          </w:rPr>
          <w:fldChar w:fldCharType="separate"/>
        </w:r>
        <w:r>
          <w:rPr>
            <w:noProof/>
            <w:webHidden/>
          </w:rPr>
          <w:t>33</w:t>
        </w:r>
        <w:r>
          <w:rPr>
            <w:noProof/>
            <w:webHidden/>
          </w:rPr>
          <w:fldChar w:fldCharType="end"/>
        </w:r>
      </w:hyperlink>
    </w:p>
    <w:p w14:paraId="3DB1FB0B" w14:textId="3EE005DF"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2" w:history="1">
        <w:r w:rsidRPr="00E70D19">
          <w:rPr>
            <w:rStyle w:val="Lienhypertexte"/>
            <w:noProof/>
          </w:rPr>
          <w:t>Article 15.4-</w:t>
        </w:r>
        <w:r>
          <w:rPr>
            <w:rFonts w:eastAsiaTheme="minorEastAsia"/>
            <w:i w:val="0"/>
            <w:noProof/>
            <w:kern w:val="2"/>
            <w:sz w:val="24"/>
            <w:szCs w:val="24"/>
            <w:lang w:eastAsia="fr-FR"/>
            <w14:ligatures w14:val="standardContextual"/>
          </w:rPr>
          <w:tab/>
        </w:r>
        <w:r w:rsidRPr="00E70D19">
          <w:rPr>
            <w:rStyle w:val="Lienhypertexte"/>
            <w:noProof/>
          </w:rPr>
          <w:t>Pénalités pour non-respect des obligations en matière de lutte contre le travail dissimulé</w:t>
        </w:r>
        <w:r>
          <w:rPr>
            <w:noProof/>
            <w:webHidden/>
          </w:rPr>
          <w:tab/>
        </w:r>
        <w:r>
          <w:rPr>
            <w:noProof/>
            <w:webHidden/>
          </w:rPr>
          <w:fldChar w:fldCharType="begin"/>
        </w:r>
        <w:r>
          <w:rPr>
            <w:noProof/>
            <w:webHidden/>
          </w:rPr>
          <w:instrText xml:space="preserve"> PAGEREF _Toc222244222 \h </w:instrText>
        </w:r>
        <w:r>
          <w:rPr>
            <w:noProof/>
            <w:webHidden/>
          </w:rPr>
        </w:r>
        <w:r>
          <w:rPr>
            <w:noProof/>
            <w:webHidden/>
          </w:rPr>
          <w:fldChar w:fldCharType="separate"/>
        </w:r>
        <w:r>
          <w:rPr>
            <w:noProof/>
            <w:webHidden/>
          </w:rPr>
          <w:t>33</w:t>
        </w:r>
        <w:r>
          <w:rPr>
            <w:noProof/>
            <w:webHidden/>
          </w:rPr>
          <w:fldChar w:fldCharType="end"/>
        </w:r>
      </w:hyperlink>
    </w:p>
    <w:p w14:paraId="6FF8A59E" w14:textId="555E613B"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3" w:history="1">
        <w:r w:rsidRPr="00E70D19">
          <w:rPr>
            <w:rStyle w:val="Lienhypertexte"/>
            <w:noProof/>
          </w:rPr>
          <w:t>Article 15.5-</w:t>
        </w:r>
        <w:r>
          <w:rPr>
            <w:rFonts w:eastAsiaTheme="minorEastAsia"/>
            <w:i w:val="0"/>
            <w:noProof/>
            <w:kern w:val="2"/>
            <w:sz w:val="24"/>
            <w:szCs w:val="24"/>
            <w:lang w:eastAsia="fr-FR"/>
            <w14:ligatures w14:val="standardContextual"/>
          </w:rPr>
          <w:tab/>
        </w:r>
        <w:r w:rsidRPr="00E70D19">
          <w:rPr>
            <w:rStyle w:val="Lienhypertexte"/>
            <w:noProof/>
          </w:rPr>
          <w:t>Autres pénalités</w:t>
        </w:r>
        <w:r>
          <w:rPr>
            <w:noProof/>
            <w:webHidden/>
          </w:rPr>
          <w:tab/>
        </w:r>
        <w:r>
          <w:rPr>
            <w:noProof/>
            <w:webHidden/>
          </w:rPr>
          <w:fldChar w:fldCharType="begin"/>
        </w:r>
        <w:r>
          <w:rPr>
            <w:noProof/>
            <w:webHidden/>
          </w:rPr>
          <w:instrText xml:space="preserve"> PAGEREF _Toc222244223 \h </w:instrText>
        </w:r>
        <w:r>
          <w:rPr>
            <w:noProof/>
            <w:webHidden/>
          </w:rPr>
        </w:r>
        <w:r>
          <w:rPr>
            <w:noProof/>
            <w:webHidden/>
          </w:rPr>
          <w:fldChar w:fldCharType="separate"/>
        </w:r>
        <w:r>
          <w:rPr>
            <w:noProof/>
            <w:webHidden/>
          </w:rPr>
          <w:t>33</w:t>
        </w:r>
        <w:r>
          <w:rPr>
            <w:noProof/>
            <w:webHidden/>
          </w:rPr>
          <w:fldChar w:fldCharType="end"/>
        </w:r>
      </w:hyperlink>
    </w:p>
    <w:p w14:paraId="30F68953" w14:textId="3CB3D396" w:rsidR="00DB091B" w:rsidRDefault="00DB091B">
      <w:pPr>
        <w:pStyle w:val="TM1"/>
        <w:rPr>
          <w:rFonts w:eastAsiaTheme="minorEastAsia"/>
          <w:b w:val="0"/>
          <w:noProof/>
          <w:kern w:val="2"/>
          <w:sz w:val="24"/>
          <w:szCs w:val="24"/>
          <w:lang w:eastAsia="fr-FR"/>
          <w14:ligatures w14:val="standardContextual"/>
        </w:rPr>
      </w:pPr>
      <w:hyperlink w:anchor="_Toc222244224" w:history="1">
        <w:r w:rsidRPr="00E70D19">
          <w:rPr>
            <w:rStyle w:val="Lienhypertexte"/>
            <w:noProof/>
          </w:rPr>
          <w:t>ARTICLE 16-</w:t>
        </w:r>
        <w:r>
          <w:rPr>
            <w:rFonts w:eastAsiaTheme="minorEastAsia"/>
            <w:b w:val="0"/>
            <w:noProof/>
            <w:kern w:val="2"/>
            <w:sz w:val="24"/>
            <w:szCs w:val="24"/>
            <w:lang w:eastAsia="fr-FR"/>
            <w14:ligatures w14:val="standardContextual"/>
          </w:rPr>
          <w:tab/>
        </w:r>
        <w:r w:rsidRPr="00E70D19">
          <w:rPr>
            <w:rStyle w:val="Lienhypertexte"/>
            <w:noProof/>
          </w:rPr>
          <w:t>Constatation de l’exécution des prestations</w:t>
        </w:r>
        <w:r>
          <w:rPr>
            <w:noProof/>
            <w:webHidden/>
          </w:rPr>
          <w:tab/>
        </w:r>
        <w:r>
          <w:rPr>
            <w:noProof/>
            <w:webHidden/>
          </w:rPr>
          <w:fldChar w:fldCharType="begin"/>
        </w:r>
        <w:r>
          <w:rPr>
            <w:noProof/>
            <w:webHidden/>
          </w:rPr>
          <w:instrText xml:space="preserve"> PAGEREF _Toc222244224 \h </w:instrText>
        </w:r>
        <w:r>
          <w:rPr>
            <w:noProof/>
            <w:webHidden/>
          </w:rPr>
        </w:r>
        <w:r>
          <w:rPr>
            <w:noProof/>
            <w:webHidden/>
          </w:rPr>
          <w:fldChar w:fldCharType="separate"/>
        </w:r>
        <w:r>
          <w:rPr>
            <w:noProof/>
            <w:webHidden/>
          </w:rPr>
          <w:t>34</w:t>
        </w:r>
        <w:r>
          <w:rPr>
            <w:noProof/>
            <w:webHidden/>
          </w:rPr>
          <w:fldChar w:fldCharType="end"/>
        </w:r>
      </w:hyperlink>
    </w:p>
    <w:p w14:paraId="7CFEF06B" w14:textId="0E7B7C43"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5" w:history="1">
        <w:r w:rsidRPr="00E70D19">
          <w:rPr>
            <w:rStyle w:val="Lienhypertexte"/>
            <w:noProof/>
          </w:rPr>
          <w:t>Article 16.1-</w:t>
        </w:r>
        <w:r>
          <w:rPr>
            <w:rFonts w:eastAsiaTheme="minorEastAsia"/>
            <w:i w:val="0"/>
            <w:noProof/>
            <w:kern w:val="2"/>
            <w:sz w:val="24"/>
            <w:szCs w:val="24"/>
            <w:lang w:eastAsia="fr-FR"/>
            <w14:ligatures w14:val="standardContextual"/>
          </w:rPr>
          <w:tab/>
        </w:r>
        <w:r w:rsidRPr="00E70D19">
          <w:rPr>
            <w:rStyle w:val="Lienhypertexte"/>
            <w:noProof/>
          </w:rPr>
          <w:t>Installation et mise en ordre de marche</w:t>
        </w:r>
        <w:r>
          <w:rPr>
            <w:noProof/>
            <w:webHidden/>
          </w:rPr>
          <w:tab/>
        </w:r>
        <w:r>
          <w:rPr>
            <w:noProof/>
            <w:webHidden/>
          </w:rPr>
          <w:fldChar w:fldCharType="begin"/>
        </w:r>
        <w:r>
          <w:rPr>
            <w:noProof/>
            <w:webHidden/>
          </w:rPr>
          <w:instrText xml:space="preserve"> PAGEREF _Toc222244225 \h </w:instrText>
        </w:r>
        <w:r>
          <w:rPr>
            <w:noProof/>
            <w:webHidden/>
          </w:rPr>
        </w:r>
        <w:r>
          <w:rPr>
            <w:noProof/>
            <w:webHidden/>
          </w:rPr>
          <w:fldChar w:fldCharType="separate"/>
        </w:r>
        <w:r>
          <w:rPr>
            <w:noProof/>
            <w:webHidden/>
          </w:rPr>
          <w:t>34</w:t>
        </w:r>
        <w:r>
          <w:rPr>
            <w:noProof/>
            <w:webHidden/>
          </w:rPr>
          <w:fldChar w:fldCharType="end"/>
        </w:r>
      </w:hyperlink>
    </w:p>
    <w:p w14:paraId="5B5A2CB5" w14:textId="5F7EAE49"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6" w:history="1">
        <w:r w:rsidRPr="00E70D19">
          <w:rPr>
            <w:rStyle w:val="Lienhypertexte"/>
            <w:noProof/>
          </w:rPr>
          <w:t>Article 16.2-</w:t>
        </w:r>
        <w:r>
          <w:rPr>
            <w:rFonts w:eastAsiaTheme="minorEastAsia"/>
            <w:i w:val="0"/>
            <w:noProof/>
            <w:kern w:val="2"/>
            <w:sz w:val="24"/>
            <w:szCs w:val="24"/>
            <w:lang w:eastAsia="fr-FR"/>
            <w14:ligatures w14:val="standardContextual"/>
          </w:rPr>
          <w:tab/>
        </w:r>
        <w:r w:rsidRPr="00E70D19">
          <w:rPr>
            <w:rStyle w:val="Lienhypertexte"/>
            <w:noProof/>
          </w:rPr>
          <w:t>Modalités des opérations de vérification</w:t>
        </w:r>
        <w:r>
          <w:rPr>
            <w:noProof/>
            <w:webHidden/>
          </w:rPr>
          <w:tab/>
        </w:r>
        <w:r>
          <w:rPr>
            <w:noProof/>
            <w:webHidden/>
          </w:rPr>
          <w:fldChar w:fldCharType="begin"/>
        </w:r>
        <w:r>
          <w:rPr>
            <w:noProof/>
            <w:webHidden/>
          </w:rPr>
          <w:instrText xml:space="preserve"> PAGEREF _Toc222244226 \h </w:instrText>
        </w:r>
        <w:r>
          <w:rPr>
            <w:noProof/>
            <w:webHidden/>
          </w:rPr>
        </w:r>
        <w:r>
          <w:rPr>
            <w:noProof/>
            <w:webHidden/>
          </w:rPr>
          <w:fldChar w:fldCharType="separate"/>
        </w:r>
        <w:r>
          <w:rPr>
            <w:noProof/>
            <w:webHidden/>
          </w:rPr>
          <w:t>34</w:t>
        </w:r>
        <w:r>
          <w:rPr>
            <w:noProof/>
            <w:webHidden/>
          </w:rPr>
          <w:fldChar w:fldCharType="end"/>
        </w:r>
      </w:hyperlink>
    </w:p>
    <w:p w14:paraId="2D721510" w14:textId="51C3ABC2"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7" w:history="1">
        <w:r w:rsidRPr="00E70D19">
          <w:rPr>
            <w:rStyle w:val="Lienhypertexte"/>
            <w:noProof/>
          </w:rPr>
          <w:t>Article 16.3-</w:t>
        </w:r>
        <w:r>
          <w:rPr>
            <w:rFonts w:eastAsiaTheme="minorEastAsia"/>
            <w:i w:val="0"/>
            <w:noProof/>
            <w:kern w:val="2"/>
            <w:sz w:val="24"/>
            <w:szCs w:val="24"/>
            <w:lang w:eastAsia="fr-FR"/>
            <w14:ligatures w14:val="standardContextual"/>
          </w:rPr>
          <w:tab/>
        </w:r>
        <w:r w:rsidRPr="00E70D19">
          <w:rPr>
            <w:rStyle w:val="Lienhypertexte"/>
            <w:noProof/>
          </w:rPr>
          <w:t>Vérifications quantitatives</w:t>
        </w:r>
        <w:r>
          <w:rPr>
            <w:noProof/>
            <w:webHidden/>
          </w:rPr>
          <w:tab/>
        </w:r>
        <w:r>
          <w:rPr>
            <w:noProof/>
            <w:webHidden/>
          </w:rPr>
          <w:fldChar w:fldCharType="begin"/>
        </w:r>
        <w:r>
          <w:rPr>
            <w:noProof/>
            <w:webHidden/>
          </w:rPr>
          <w:instrText xml:space="preserve"> PAGEREF _Toc222244227 \h </w:instrText>
        </w:r>
        <w:r>
          <w:rPr>
            <w:noProof/>
            <w:webHidden/>
          </w:rPr>
        </w:r>
        <w:r>
          <w:rPr>
            <w:noProof/>
            <w:webHidden/>
          </w:rPr>
          <w:fldChar w:fldCharType="separate"/>
        </w:r>
        <w:r>
          <w:rPr>
            <w:noProof/>
            <w:webHidden/>
          </w:rPr>
          <w:t>34</w:t>
        </w:r>
        <w:r>
          <w:rPr>
            <w:noProof/>
            <w:webHidden/>
          </w:rPr>
          <w:fldChar w:fldCharType="end"/>
        </w:r>
      </w:hyperlink>
    </w:p>
    <w:p w14:paraId="0C9EE394" w14:textId="7318C79B"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8" w:history="1">
        <w:r w:rsidRPr="00E70D19">
          <w:rPr>
            <w:rStyle w:val="Lienhypertexte"/>
            <w:noProof/>
          </w:rPr>
          <w:t>Article 16.4-</w:t>
        </w:r>
        <w:r>
          <w:rPr>
            <w:rFonts w:eastAsiaTheme="minorEastAsia"/>
            <w:i w:val="0"/>
            <w:noProof/>
            <w:kern w:val="2"/>
            <w:sz w:val="24"/>
            <w:szCs w:val="24"/>
            <w:lang w:eastAsia="fr-FR"/>
            <w14:ligatures w14:val="standardContextual"/>
          </w:rPr>
          <w:tab/>
        </w:r>
        <w:r w:rsidRPr="00E70D19">
          <w:rPr>
            <w:rStyle w:val="Lienhypertexte"/>
            <w:noProof/>
          </w:rPr>
          <w:t>Vérifications qualitatives</w:t>
        </w:r>
        <w:r>
          <w:rPr>
            <w:noProof/>
            <w:webHidden/>
          </w:rPr>
          <w:tab/>
        </w:r>
        <w:r>
          <w:rPr>
            <w:noProof/>
            <w:webHidden/>
          </w:rPr>
          <w:fldChar w:fldCharType="begin"/>
        </w:r>
        <w:r>
          <w:rPr>
            <w:noProof/>
            <w:webHidden/>
          </w:rPr>
          <w:instrText xml:space="preserve"> PAGEREF _Toc222244228 \h </w:instrText>
        </w:r>
        <w:r>
          <w:rPr>
            <w:noProof/>
            <w:webHidden/>
          </w:rPr>
        </w:r>
        <w:r>
          <w:rPr>
            <w:noProof/>
            <w:webHidden/>
          </w:rPr>
          <w:fldChar w:fldCharType="separate"/>
        </w:r>
        <w:r>
          <w:rPr>
            <w:noProof/>
            <w:webHidden/>
          </w:rPr>
          <w:t>34</w:t>
        </w:r>
        <w:r>
          <w:rPr>
            <w:noProof/>
            <w:webHidden/>
          </w:rPr>
          <w:fldChar w:fldCharType="end"/>
        </w:r>
      </w:hyperlink>
    </w:p>
    <w:p w14:paraId="468D534C" w14:textId="7A788201"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29" w:history="1">
        <w:r w:rsidRPr="00E70D19">
          <w:rPr>
            <w:rStyle w:val="Lienhypertexte"/>
            <w:noProof/>
          </w:rPr>
          <w:t>Article 16.5-</w:t>
        </w:r>
        <w:r>
          <w:rPr>
            <w:rFonts w:eastAsiaTheme="minorEastAsia"/>
            <w:i w:val="0"/>
            <w:noProof/>
            <w:kern w:val="2"/>
            <w:sz w:val="24"/>
            <w:szCs w:val="24"/>
            <w:lang w:eastAsia="fr-FR"/>
            <w14:ligatures w14:val="standardContextual"/>
          </w:rPr>
          <w:tab/>
        </w:r>
        <w:r w:rsidRPr="00E70D19">
          <w:rPr>
            <w:rStyle w:val="Lienhypertexte"/>
            <w:noProof/>
          </w:rPr>
          <w:t>Décision après vérification</w:t>
        </w:r>
        <w:r>
          <w:rPr>
            <w:noProof/>
            <w:webHidden/>
          </w:rPr>
          <w:tab/>
        </w:r>
        <w:r>
          <w:rPr>
            <w:noProof/>
            <w:webHidden/>
          </w:rPr>
          <w:fldChar w:fldCharType="begin"/>
        </w:r>
        <w:r>
          <w:rPr>
            <w:noProof/>
            <w:webHidden/>
          </w:rPr>
          <w:instrText xml:space="preserve"> PAGEREF _Toc222244229 \h </w:instrText>
        </w:r>
        <w:r>
          <w:rPr>
            <w:noProof/>
            <w:webHidden/>
          </w:rPr>
        </w:r>
        <w:r>
          <w:rPr>
            <w:noProof/>
            <w:webHidden/>
          </w:rPr>
          <w:fldChar w:fldCharType="separate"/>
        </w:r>
        <w:r>
          <w:rPr>
            <w:noProof/>
            <w:webHidden/>
          </w:rPr>
          <w:t>34</w:t>
        </w:r>
        <w:r>
          <w:rPr>
            <w:noProof/>
            <w:webHidden/>
          </w:rPr>
          <w:fldChar w:fldCharType="end"/>
        </w:r>
      </w:hyperlink>
    </w:p>
    <w:p w14:paraId="36C15CBB" w14:textId="02813CB4" w:rsidR="00DB091B" w:rsidRDefault="00DB091B">
      <w:pPr>
        <w:pStyle w:val="TM1"/>
        <w:rPr>
          <w:rFonts w:eastAsiaTheme="minorEastAsia"/>
          <w:b w:val="0"/>
          <w:noProof/>
          <w:kern w:val="2"/>
          <w:sz w:val="24"/>
          <w:szCs w:val="24"/>
          <w:lang w:eastAsia="fr-FR"/>
          <w14:ligatures w14:val="standardContextual"/>
        </w:rPr>
      </w:pPr>
      <w:hyperlink w:anchor="_Toc222244230" w:history="1">
        <w:r w:rsidRPr="00E70D19">
          <w:rPr>
            <w:rStyle w:val="Lienhypertexte"/>
            <w:noProof/>
          </w:rPr>
          <w:t>ARTICLE 17-</w:t>
        </w:r>
        <w:r>
          <w:rPr>
            <w:rFonts w:eastAsiaTheme="minorEastAsia"/>
            <w:b w:val="0"/>
            <w:noProof/>
            <w:kern w:val="2"/>
            <w:sz w:val="24"/>
            <w:szCs w:val="24"/>
            <w:lang w:eastAsia="fr-FR"/>
            <w14:ligatures w14:val="standardContextual"/>
          </w:rPr>
          <w:tab/>
        </w:r>
        <w:r w:rsidRPr="00E70D19">
          <w:rPr>
            <w:rStyle w:val="Lienhypertexte"/>
            <w:noProof/>
          </w:rPr>
          <w:t>Garantie</w:t>
        </w:r>
        <w:r>
          <w:rPr>
            <w:noProof/>
            <w:webHidden/>
          </w:rPr>
          <w:tab/>
        </w:r>
        <w:r>
          <w:rPr>
            <w:noProof/>
            <w:webHidden/>
          </w:rPr>
          <w:fldChar w:fldCharType="begin"/>
        </w:r>
        <w:r>
          <w:rPr>
            <w:noProof/>
            <w:webHidden/>
          </w:rPr>
          <w:instrText xml:space="preserve"> PAGEREF _Toc222244230 \h </w:instrText>
        </w:r>
        <w:r>
          <w:rPr>
            <w:noProof/>
            <w:webHidden/>
          </w:rPr>
        </w:r>
        <w:r>
          <w:rPr>
            <w:noProof/>
            <w:webHidden/>
          </w:rPr>
          <w:fldChar w:fldCharType="separate"/>
        </w:r>
        <w:r>
          <w:rPr>
            <w:noProof/>
            <w:webHidden/>
          </w:rPr>
          <w:t>35</w:t>
        </w:r>
        <w:r>
          <w:rPr>
            <w:noProof/>
            <w:webHidden/>
          </w:rPr>
          <w:fldChar w:fldCharType="end"/>
        </w:r>
      </w:hyperlink>
    </w:p>
    <w:p w14:paraId="330F4EC5" w14:textId="00D82ED8" w:rsidR="00DB091B" w:rsidRDefault="00DB091B">
      <w:pPr>
        <w:pStyle w:val="TM1"/>
        <w:rPr>
          <w:rFonts w:eastAsiaTheme="minorEastAsia"/>
          <w:b w:val="0"/>
          <w:noProof/>
          <w:kern w:val="2"/>
          <w:sz w:val="24"/>
          <w:szCs w:val="24"/>
          <w:lang w:eastAsia="fr-FR"/>
          <w14:ligatures w14:val="standardContextual"/>
        </w:rPr>
      </w:pPr>
      <w:hyperlink w:anchor="_Toc222244231" w:history="1">
        <w:r w:rsidRPr="00E70D19">
          <w:rPr>
            <w:rStyle w:val="Lienhypertexte"/>
            <w:noProof/>
          </w:rPr>
          <w:t>ARTICLE 18-</w:t>
        </w:r>
        <w:r>
          <w:rPr>
            <w:rFonts w:eastAsiaTheme="minorEastAsia"/>
            <w:b w:val="0"/>
            <w:noProof/>
            <w:kern w:val="2"/>
            <w:sz w:val="24"/>
            <w:szCs w:val="24"/>
            <w:lang w:eastAsia="fr-FR"/>
            <w14:ligatures w14:val="standardContextual"/>
          </w:rPr>
          <w:tab/>
        </w:r>
        <w:r w:rsidRPr="00E70D19">
          <w:rPr>
            <w:rStyle w:val="Lienhypertexte"/>
            <w:noProof/>
          </w:rPr>
          <w:t>maintenance des prestations</w:t>
        </w:r>
        <w:r>
          <w:rPr>
            <w:noProof/>
            <w:webHidden/>
          </w:rPr>
          <w:tab/>
        </w:r>
        <w:r>
          <w:rPr>
            <w:noProof/>
            <w:webHidden/>
          </w:rPr>
          <w:fldChar w:fldCharType="begin"/>
        </w:r>
        <w:r>
          <w:rPr>
            <w:noProof/>
            <w:webHidden/>
          </w:rPr>
          <w:instrText xml:space="preserve"> PAGEREF _Toc222244231 \h </w:instrText>
        </w:r>
        <w:r>
          <w:rPr>
            <w:noProof/>
            <w:webHidden/>
          </w:rPr>
        </w:r>
        <w:r>
          <w:rPr>
            <w:noProof/>
            <w:webHidden/>
          </w:rPr>
          <w:fldChar w:fldCharType="separate"/>
        </w:r>
        <w:r>
          <w:rPr>
            <w:noProof/>
            <w:webHidden/>
          </w:rPr>
          <w:t>35</w:t>
        </w:r>
        <w:r>
          <w:rPr>
            <w:noProof/>
            <w:webHidden/>
          </w:rPr>
          <w:fldChar w:fldCharType="end"/>
        </w:r>
      </w:hyperlink>
    </w:p>
    <w:p w14:paraId="6D4DB76D" w14:textId="40E23F6C" w:rsidR="00DB091B" w:rsidRDefault="00DB091B">
      <w:pPr>
        <w:pStyle w:val="TM1"/>
        <w:rPr>
          <w:rFonts w:eastAsiaTheme="minorEastAsia"/>
          <w:b w:val="0"/>
          <w:noProof/>
          <w:kern w:val="2"/>
          <w:sz w:val="24"/>
          <w:szCs w:val="24"/>
          <w:lang w:eastAsia="fr-FR"/>
          <w14:ligatures w14:val="standardContextual"/>
        </w:rPr>
      </w:pPr>
      <w:hyperlink w:anchor="_Toc222244232" w:history="1">
        <w:r w:rsidRPr="00E70D19">
          <w:rPr>
            <w:rStyle w:val="Lienhypertexte"/>
            <w:noProof/>
          </w:rPr>
          <w:t>ARTICLE 19-</w:t>
        </w:r>
        <w:r>
          <w:rPr>
            <w:rFonts w:eastAsiaTheme="minorEastAsia"/>
            <w:b w:val="0"/>
            <w:noProof/>
            <w:kern w:val="2"/>
            <w:sz w:val="24"/>
            <w:szCs w:val="24"/>
            <w:lang w:eastAsia="fr-FR"/>
            <w14:ligatures w14:val="standardContextual"/>
          </w:rPr>
          <w:tab/>
        </w:r>
        <w:r w:rsidRPr="00E70D19">
          <w:rPr>
            <w:rStyle w:val="Lienhypertexte"/>
            <w:noProof/>
          </w:rPr>
          <w:t>Réversibilité</w:t>
        </w:r>
        <w:r>
          <w:rPr>
            <w:noProof/>
            <w:webHidden/>
          </w:rPr>
          <w:tab/>
        </w:r>
        <w:r>
          <w:rPr>
            <w:noProof/>
            <w:webHidden/>
          </w:rPr>
          <w:fldChar w:fldCharType="begin"/>
        </w:r>
        <w:r>
          <w:rPr>
            <w:noProof/>
            <w:webHidden/>
          </w:rPr>
          <w:instrText xml:space="preserve"> PAGEREF _Toc222244232 \h </w:instrText>
        </w:r>
        <w:r>
          <w:rPr>
            <w:noProof/>
            <w:webHidden/>
          </w:rPr>
        </w:r>
        <w:r>
          <w:rPr>
            <w:noProof/>
            <w:webHidden/>
          </w:rPr>
          <w:fldChar w:fldCharType="separate"/>
        </w:r>
        <w:r>
          <w:rPr>
            <w:noProof/>
            <w:webHidden/>
          </w:rPr>
          <w:t>35</w:t>
        </w:r>
        <w:r>
          <w:rPr>
            <w:noProof/>
            <w:webHidden/>
          </w:rPr>
          <w:fldChar w:fldCharType="end"/>
        </w:r>
      </w:hyperlink>
    </w:p>
    <w:p w14:paraId="5982C4F6" w14:textId="40F12A56" w:rsidR="00DB091B" w:rsidRDefault="00DB091B">
      <w:pPr>
        <w:pStyle w:val="TM1"/>
        <w:rPr>
          <w:rFonts w:eastAsiaTheme="minorEastAsia"/>
          <w:b w:val="0"/>
          <w:noProof/>
          <w:kern w:val="2"/>
          <w:sz w:val="24"/>
          <w:szCs w:val="24"/>
          <w:lang w:eastAsia="fr-FR"/>
          <w14:ligatures w14:val="standardContextual"/>
        </w:rPr>
      </w:pPr>
      <w:hyperlink w:anchor="_Toc222244233" w:history="1">
        <w:r w:rsidRPr="00E70D19">
          <w:rPr>
            <w:rStyle w:val="Lienhypertexte"/>
            <w:noProof/>
          </w:rPr>
          <w:t>ARTICLE 20-</w:t>
        </w:r>
        <w:r>
          <w:rPr>
            <w:rFonts w:eastAsiaTheme="minorEastAsia"/>
            <w:b w:val="0"/>
            <w:noProof/>
            <w:kern w:val="2"/>
            <w:sz w:val="24"/>
            <w:szCs w:val="24"/>
            <w:lang w:eastAsia="fr-FR"/>
            <w14:ligatures w14:val="standardContextual"/>
          </w:rPr>
          <w:tab/>
        </w:r>
        <w:r w:rsidRPr="00E70D19">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_Toc222244233 \h </w:instrText>
        </w:r>
        <w:r>
          <w:rPr>
            <w:noProof/>
            <w:webHidden/>
          </w:rPr>
        </w:r>
        <w:r>
          <w:rPr>
            <w:noProof/>
            <w:webHidden/>
          </w:rPr>
          <w:fldChar w:fldCharType="separate"/>
        </w:r>
        <w:r>
          <w:rPr>
            <w:noProof/>
            <w:webHidden/>
          </w:rPr>
          <w:t>35</w:t>
        </w:r>
        <w:r>
          <w:rPr>
            <w:noProof/>
            <w:webHidden/>
          </w:rPr>
          <w:fldChar w:fldCharType="end"/>
        </w:r>
      </w:hyperlink>
    </w:p>
    <w:p w14:paraId="08CAEEA8" w14:textId="22C871D7"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34" w:history="1">
        <w:r w:rsidRPr="00E70D19">
          <w:rPr>
            <w:rStyle w:val="Lienhypertexte"/>
            <w:noProof/>
          </w:rPr>
          <w:t>Article 20.1-</w:t>
        </w:r>
        <w:r>
          <w:rPr>
            <w:rFonts w:eastAsiaTheme="minorEastAsia"/>
            <w:i w:val="0"/>
            <w:noProof/>
            <w:kern w:val="2"/>
            <w:sz w:val="24"/>
            <w:szCs w:val="24"/>
            <w:lang w:eastAsia="fr-FR"/>
            <w14:ligatures w14:val="standardContextual"/>
          </w:rPr>
          <w:tab/>
        </w:r>
        <w:r w:rsidRPr="00E70D19">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_Toc222244234 \h </w:instrText>
        </w:r>
        <w:r>
          <w:rPr>
            <w:noProof/>
            <w:webHidden/>
          </w:rPr>
        </w:r>
        <w:r>
          <w:rPr>
            <w:noProof/>
            <w:webHidden/>
          </w:rPr>
          <w:fldChar w:fldCharType="separate"/>
        </w:r>
        <w:r>
          <w:rPr>
            <w:noProof/>
            <w:webHidden/>
          </w:rPr>
          <w:t>35</w:t>
        </w:r>
        <w:r>
          <w:rPr>
            <w:noProof/>
            <w:webHidden/>
          </w:rPr>
          <w:fldChar w:fldCharType="end"/>
        </w:r>
      </w:hyperlink>
    </w:p>
    <w:p w14:paraId="6C325BF9" w14:textId="423D9A1B"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35" w:history="1">
        <w:r w:rsidRPr="00E70D19">
          <w:rPr>
            <w:rStyle w:val="Lienhypertexte"/>
            <w:noProof/>
          </w:rPr>
          <w:t>Article 20.2-</w:t>
        </w:r>
        <w:r>
          <w:rPr>
            <w:rFonts w:eastAsiaTheme="minorEastAsia"/>
            <w:i w:val="0"/>
            <w:noProof/>
            <w:kern w:val="2"/>
            <w:sz w:val="24"/>
            <w:szCs w:val="24"/>
            <w:lang w:eastAsia="fr-FR"/>
            <w14:ligatures w14:val="standardContextual"/>
          </w:rPr>
          <w:tab/>
        </w:r>
        <w:r w:rsidRPr="00E70D19">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_Toc222244235 \h </w:instrText>
        </w:r>
        <w:r>
          <w:rPr>
            <w:noProof/>
            <w:webHidden/>
          </w:rPr>
        </w:r>
        <w:r>
          <w:rPr>
            <w:noProof/>
            <w:webHidden/>
          </w:rPr>
          <w:fldChar w:fldCharType="separate"/>
        </w:r>
        <w:r>
          <w:rPr>
            <w:noProof/>
            <w:webHidden/>
          </w:rPr>
          <w:t>36</w:t>
        </w:r>
        <w:r>
          <w:rPr>
            <w:noProof/>
            <w:webHidden/>
          </w:rPr>
          <w:fldChar w:fldCharType="end"/>
        </w:r>
      </w:hyperlink>
    </w:p>
    <w:p w14:paraId="62FF6175" w14:textId="5750B637" w:rsidR="00DB091B" w:rsidRDefault="00DB091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4236" w:history="1">
        <w:r w:rsidRPr="00E70D19">
          <w:rPr>
            <w:rStyle w:val="Lienhypertexte"/>
            <w:noProof/>
          </w:rPr>
          <w:t>Article 20.3-</w:t>
        </w:r>
        <w:r>
          <w:rPr>
            <w:rFonts w:eastAsiaTheme="minorEastAsia"/>
            <w:i w:val="0"/>
            <w:noProof/>
            <w:kern w:val="2"/>
            <w:sz w:val="24"/>
            <w:szCs w:val="24"/>
            <w:lang w:eastAsia="fr-FR"/>
            <w14:ligatures w14:val="standardContextual"/>
          </w:rPr>
          <w:tab/>
        </w:r>
        <w:r w:rsidRPr="00E70D19">
          <w:rPr>
            <w:rStyle w:val="Lienhypertexte"/>
            <w:noProof/>
          </w:rPr>
          <w:t>Adaptation – suspension de l’accord-cadre</w:t>
        </w:r>
        <w:r>
          <w:rPr>
            <w:noProof/>
            <w:webHidden/>
          </w:rPr>
          <w:tab/>
        </w:r>
        <w:r>
          <w:rPr>
            <w:noProof/>
            <w:webHidden/>
          </w:rPr>
          <w:fldChar w:fldCharType="begin"/>
        </w:r>
        <w:r>
          <w:rPr>
            <w:noProof/>
            <w:webHidden/>
          </w:rPr>
          <w:instrText xml:space="preserve"> PAGEREF _Toc222244236 \h </w:instrText>
        </w:r>
        <w:r>
          <w:rPr>
            <w:noProof/>
            <w:webHidden/>
          </w:rPr>
        </w:r>
        <w:r>
          <w:rPr>
            <w:noProof/>
            <w:webHidden/>
          </w:rPr>
          <w:fldChar w:fldCharType="separate"/>
        </w:r>
        <w:r>
          <w:rPr>
            <w:noProof/>
            <w:webHidden/>
          </w:rPr>
          <w:t>36</w:t>
        </w:r>
        <w:r>
          <w:rPr>
            <w:noProof/>
            <w:webHidden/>
          </w:rPr>
          <w:fldChar w:fldCharType="end"/>
        </w:r>
      </w:hyperlink>
    </w:p>
    <w:p w14:paraId="7A4AA509" w14:textId="02754589" w:rsidR="00DB091B" w:rsidRDefault="00DB091B">
      <w:pPr>
        <w:pStyle w:val="TM1"/>
        <w:rPr>
          <w:rFonts w:eastAsiaTheme="minorEastAsia"/>
          <w:b w:val="0"/>
          <w:noProof/>
          <w:kern w:val="2"/>
          <w:sz w:val="24"/>
          <w:szCs w:val="24"/>
          <w:lang w:eastAsia="fr-FR"/>
          <w14:ligatures w14:val="standardContextual"/>
        </w:rPr>
      </w:pPr>
      <w:hyperlink w:anchor="_Toc222244237" w:history="1">
        <w:r w:rsidRPr="00E70D19">
          <w:rPr>
            <w:rStyle w:val="Lienhypertexte"/>
            <w:noProof/>
          </w:rPr>
          <w:t>ARTICLE 21-</w:t>
        </w:r>
        <w:r>
          <w:rPr>
            <w:rFonts w:eastAsiaTheme="minorEastAsia"/>
            <w:b w:val="0"/>
            <w:noProof/>
            <w:kern w:val="2"/>
            <w:sz w:val="24"/>
            <w:szCs w:val="24"/>
            <w:lang w:eastAsia="fr-FR"/>
            <w14:ligatures w14:val="standardContextual"/>
          </w:rPr>
          <w:tab/>
        </w:r>
        <w:r w:rsidRPr="00E70D19">
          <w:rPr>
            <w:rStyle w:val="Lienhypertexte"/>
            <w:noProof/>
          </w:rPr>
          <w:t>Obligation de respect de la loi « RPR »</w:t>
        </w:r>
        <w:r>
          <w:rPr>
            <w:noProof/>
            <w:webHidden/>
          </w:rPr>
          <w:tab/>
        </w:r>
        <w:r>
          <w:rPr>
            <w:noProof/>
            <w:webHidden/>
          </w:rPr>
          <w:fldChar w:fldCharType="begin"/>
        </w:r>
        <w:r>
          <w:rPr>
            <w:noProof/>
            <w:webHidden/>
          </w:rPr>
          <w:instrText xml:space="preserve"> PAGEREF _Toc222244237 \h </w:instrText>
        </w:r>
        <w:r>
          <w:rPr>
            <w:noProof/>
            <w:webHidden/>
          </w:rPr>
        </w:r>
        <w:r>
          <w:rPr>
            <w:noProof/>
            <w:webHidden/>
          </w:rPr>
          <w:fldChar w:fldCharType="separate"/>
        </w:r>
        <w:r>
          <w:rPr>
            <w:noProof/>
            <w:webHidden/>
          </w:rPr>
          <w:t>36</w:t>
        </w:r>
        <w:r>
          <w:rPr>
            <w:noProof/>
            <w:webHidden/>
          </w:rPr>
          <w:fldChar w:fldCharType="end"/>
        </w:r>
      </w:hyperlink>
    </w:p>
    <w:p w14:paraId="1CAA3AD0" w14:textId="5EEC8138" w:rsidR="00DB091B" w:rsidRDefault="00DB091B">
      <w:pPr>
        <w:pStyle w:val="TM1"/>
        <w:rPr>
          <w:rFonts w:eastAsiaTheme="minorEastAsia"/>
          <w:b w:val="0"/>
          <w:noProof/>
          <w:kern w:val="2"/>
          <w:sz w:val="24"/>
          <w:szCs w:val="24"/>
          <w:lang w:eastAsia="fr-FR"/>
          <w14:ligatures w14:val="standardContextual"/>
        </w:rPr>
      </w:pPr>
      <w:hyperlink w:anchor="_Toc222244238" w:history="1">
        <w:r w:rsidRPr="00E70D19">
          <w:rPr>
            <w:rStyle w:val="Lienhypertexte"/>
            <w:noProof/>
          </w:rPr>
          <w:t>ARTICLE 22-</w:t>
        </w:r>
        <w:r>
          <w:rPr>
            <w:rFonts w:eastAsiaTheme="minorEastAsia"/>
            <w:b w:val="0"/>
            <w:noProof/>
            <w:kern w:val="2"/>
            <w:sz w:val="24"/>
            <w:szCs w:val="24"/>
            <w:lang w:eastAsia="fr-FR"/>
            <w14:ligatures w14:val="standardContextual"/>
          </w:rPr>
          <w:tab/>
        </w:r>
        <w:r w:rsidRPr="00E70D19">
          <w:rPr>
            <w:rStyle w:val="Lienhypertexte"/>
            <w:noProof/>
          </w:rPr>
          <w:t>Assurances</w:t>
        </w:r>
        <w:r>
          <w:rPr>
            <w:noProof/>
            <w:webHidden/>
          </w:rPr>
          <w:tab/>
        </w:r>
        <w:r>
          <w:rPr>
            <w:noProof/>
            <w:webHidden/>
          </w:rPr>
          <w:fldChar w:fldCharType="begin"/>
        </w:r>
        <w:r>
          <w:rPr>
            <w:noProof/>
            <w:webHidden/>
          </w:rPr>
          <w:instrText xml:space="preserve"> PAGEREF _Toc222244238 \h </w:instrText>
        </w:r>
        <w:r>
          <w:rPr>
            <w:noProof/>
            <w:webHidden/>
          </w:rPr>
        </w:r>
        <w:r>
          <w:rPr>
            <w:noProof/>
            <w:webHidden/>
          </w:rPr>
          <w:fldChar w:fldCharType="separate"/>
        </w:r>
        <w:r>
          <w:rPr>
            <w:noProof/>
            <w:webHidden/>
          </w:rPr>
          <w:t>37</w:t>
        </w:r>
        <w:r>
          <w:rPr>
            <w:noProof/>
            <w:webHidden/>
          </w:rPr>
          <w:fldChar w:fldCharType="end"/>
        </w:r>
      </w:hyperlink>
    </w:p>
    <w:p w14:paraId="499F10CF" w14:textId="7D1872C8" w:rsidR="00DB091B" w:rsidRDefault="00DB091B">
      <w:pPr>
        <w:pStyle w:val="TM1"/>
        <w:rPr>
          <w:rFonts w:eastAsiaTheme="minorEastAsia"/>
          <w:b w:val="0"/>
          <w:noProof/>
          <w:kern w:val="2"/>
          <w:sz w:val="24"/>
          <w:szCs w:val="24"/>
          <w:lang w:eastAsia="fr-FR"/>
          <w14:ligatures w14:val="standardContextual"/>
        </w:rPr>
      </w:pPr>
      <w:hyperlink w:anchor="_Toc222244239" w:history="1">
        <w:r w:rsidRPr="00E70D19">
          <w:rPr>
            <w:rStyle w:val="Lienhypertexte"/>
            <w:noProof/>
          </w:rPr>
          <w:t>ARTICLE 23-</w:t>
        </w:r>
        <w:r>
          <w:rPr>
            <w:rFonts w:eastAsiaTheme="minorEastAsia"/>
            <w:b w:val="0"/>
            <w:noProof/>
            <w:kern w:val="2"/>
            <w:sz w:val="24"/>
            <w:szCs w:val="24"/>
            <w:lang w:eastAsia="fr-FR"/>
            <w14:ligatures w14:val="standardContextual"/>
          </w:rPr>
          <w:tab/>
        </w:r>
        <w:r w:rsidRPr="00E70D19">
          <w:rPr>
            <w:rStyle w:val="Lienhypertexte"/>
            <w:noProof/>
          </w:rPr>
          <w:t>Obligation du Titulaire tous les 6 mois</w:t>
        </w:r>
        <w:r>
          <w:rPr>
            <w:noProof/>
            <w:webHidden/>
          </w:rPr>
          <w:tab/>
        </w:r>
        <w:r>
          <w:rPr>
            <w:noProof/>
            <w:webHidden/>
          </w:rPr>
          <w:fldChar w:fldCharType="begin"/>
        </w:r>
        <w:r>
          <w:rPr>
            <w:noProof/>
            <w:webHidden/>
          </w:rPr>
          <w:instrText xml:space="preserve"> PAGEREF _Toc222244239 \h </w:instrText>
        </w:r>
        <w:r>
          <w:rPr>
            <w:noProof/>
            <w:webHidden/>
          </w:rPr>
        </w:r>
        <w:r>
          <w:rPr>
            <w:noProof/>
            <w:webHidden/>
          </w:rPr>
          <w:fldChar w:fldCharType="separate"/>
        </w:r>
        <w:r>
          <w:rPr>
            <w:noProof/>
            <w:webHidden/>
          </w:rPr>
          <w:t>37</w:t>
        </w:r>
        <w:r>
          <w:rPr>
            <w:noProof/>
            <w:webHidden/>
          </w:rPr>
          <w:fldChar w:fldCharType="end"/>
        </w:r>
      </w:hyperlink>
    </w:p>
    <w:p w14:paraId="7654A778" w14:textId="2E6DF2CE" w:rsidR="00DB091B" w:rsidRDefault="00DB091B">
      <w:pPr>
        <w:pStyle w:val="TM1"/>
        <w:rPr>
          <w:rFonts w:eastAsiaTheme="minorEastAsia"/>
          <w:b w:val="0"/>
          <w:noProof/>
          <w:kern w:val="2"/>
          <w:sz w:val="24"/>
          <w:szCs w:val="24"/>
          <w:lang w:eastAsia="fr-FR"/>
          <w14:ligatures w14:val="standardContextual"/>
        </w:rPr>
      </w:pPr>
      <w:hyperlink w:anchor="_Toc222244240" w:history="1">
        <w:r w:rsidRPr="00E70D19">
          <w:rPr>
            <w:rStyle w:val="Lienhypertexte"/>
            <w:noProof/>
          </w:rPr>
          <w:t>ARTICLE 24-</w:t>
        </w:r>
        <w:r>
          <w:rPr>
            <w:rFonts w:eastAsiaTheme="minorEastAsia"/>
            <w:b w:val="0"/>
            <w:noProof/>
            <w:kern w:val="2"/>
            <w:sz w:val="24"/>
            <w:szCs w:val="24"/>
            <w:lang w:eastAsia="fr-FR"/>
            <w14:ligatures w14:val="standardContextual"/>
          </w:rPr>
          <w:tab/>
        </w:r>
        <w:r w:rsidRPr="00E70D19">
          <w:rPr>
            <w:rStyle w:val="Lienhypertexte"/>
            <w:noProof/>
          </w:rPr>
          <w:t>Litiges et différends – Droit applicable</w:t>
        </w:r>
        <w:r>
          <w:rPr>
            <w:noProof/>
            <w:webHidden/>
          </w:rPr>
          <w:tab/>
        </w:r>
        <w:r>
          <w:rPr>
            <w:noProof/>
            <w:webHidden/>
          </w:rPr>
          <w:fldChar w:fldCharType="begin"/>
        </w:r>
        <w:r>
          <w:rPr>
            <w:noProof/>
            <w:webHidden/>
          </w:rPr>
          <w:instrText xml:space="preserve"> PAGEREF _Toc222244240 \h </w:instrText>
        </w:r>
        <w:r>
          <w:rPr>
            <w:noProof/>
            <w:webHidden/>
          </w:rPr>
        </w:r>
        <w:r>
          <w:rPr>
            <w:noProof/>
            <w:webHidden/>
          </w:rPr>
          <w:fldChar w:fldCharType="separate"/>
        </w:r>
        <w:r>
          <w:rPr>
            <w:noProof/>
            <w:webHidden/>
          </w:rPr>
          <w:t>38</w:t>
        </w:r>
        <w:r>
          <w:rPr>
            <w:noProof/>
            <w:webHidden/>
          </w:rPr>
          <w:fldChar w:fldCharType="end"/>
        </w:r>
      </w:hyperlink>
    </w:p>
    <w:p w14:paraId="28A9915E" w14:textId="2130E83E" w:rsidR="00DB091B" w:rsidRDefault="00DB091B">
      <w:pPr>
        <w:pStyle w:val="TM1"/>
        <w:rPr>
          <w:rFonts w:eastAsiaTheme="minorEastAsia"/>
          <w:b w:val="0"/>
          <w:noProof/>
          <w:kern w:val="2"/>
          <w:sz w:val="24"/>
          <w:szCs w:val="24"/>
          <w:lang w:eastAsia="fr-FR"/>
          <w14:ligatures w14:val="standardContextual"/>
        </w:rPr>
      </w:pPr>
      <w:hyperlink w:anchor="_Toc222244241" w:history="1">
        <w:r w:rsidRPr="00E70D19">
          <w:rPr>
            <w:rStyle w:val="Lienhypertexte"/>
            <w:noProof/>
          </w:rPr>
          <w:t>ARTICLE 25-</w:t>
        </w:r>
        <w:r>
          <w:rPr>
            <w:rFonts w:eastAsiaTheme="minorEastAsia"/>
            <w:b w:val="0"/>
            <w:noProof/>
            <w:kern w:val="2"/>
            <w:sz w:val="24"/>
            <w:szCs w:val="24"/>
            <w:lang w:eastAsia="fr-FR"/>
            <w14:ligatures w14:val="standardContextual"/>
          </w:rPr>
          <w:tab/>
        </w:r>
        <w:r w:rsidRPr="00E70D19">
          <w:rPr>
            <w:rStyle w:val="Lienhypertexte"/>
            <w:noProof/>
          </w:rPr>
          <w:t>Dérogation aux documents généraux</w:t>
        </w:r>
        <w:r>
          <w:rPr>
            <w:noProof/>
            <w:webHidden/>
          </w:rPr>
          <w:tab/>
        </w:r>
        <w:r>
          <w:rPr>
            <w:noProof/>
            <w:webHidden/>
          </w:rPr>
          <w:fldChar w:fldCharType="begin"/>
        </w:r>
        <w:r>
          <w:rPr>
            <w:noProof/>
            <w:webHidden/>
          </w:rPr>
          <w:instrText xml:space="preserve"> PAGEREF _Toc222244241 \h </w:instrText>
        </w:r>
        <w:r>
          <w:rPr>
            <w:noProof/>
            <w:webHidden/>
          </w:rPr>
        </w:r>
        <w:r>
          <w:rPr>
            <w:noProof/>
            <w:webHidden/>
          </w:rPr>
          <w:fldChar w:fldCharType="separate"/>
        </w:r>
        <w:r>
          <w:rPr>
            <w:noProof/>
            <w:webHidden/>
          </w:rPr>
          <w:t>38</w:t>
        </w:r>
        <w:r>
          <w:rPr>
            <w:noProof/>
            <w:webHidden/>
          </w:rPr>
          <w:fldChar w:fldCharType="end"/>
        </w:r>
      </w:hyperlink>
    </w:p>
    <w:p w14:paraId="0C3A96D9" w14:textId="7C06F628" w:rsidR="00DB091B" w:rsidRDefault="00DB091B">
      <w:pPr>
        <w:pStyle w:val="TM1"/>
        <w:rPr>
          <w:rFonts w:eastAsiaTheme="minorEastAsia"/>
          <w:b w:val="0"/>
          <w:noProof/>
          <w:kern w:val="2"/>
          <w:sz w:val="24"/>
          <w:szCs w:val="24"/>
          <w:lang w:eastAsia="fr-FR"/>
          <w14:ligatures w14:val="standardContextual"/>
        </w:rPr>
      </w:pPr>
      <w:hyperlink w:anchor="_Toc222244242" w:history="1">
        <w:r w:rsidRPr="00E70D19">
          <w:rPr>
            <w:rStyle w:val="Lienhypertexte"/>
            <w:noProof/>
          </w:rPr>
          <w:t>ARTICLE 26-</w:t>
        </w:r>
        <w:r>
          <w:rPr>
            <w:rFonts w:eastAsiaTheme="minorEastAsia"/>
            <w:b w:val="0"/>
            <w:noProof/>
            <w:kern w:val="2"/>
            <w:sz w:val="24"/>
            <w:szCs w:val="24"/>
            <w:lang w:eastAsia="fr-FR"/>
            <w14:ligatures w14:val="standardContextual"/>
          </w:rPr>
          <w:tab/>
        </w:r>
        <w:r w:rsidRPr="00E70D19">
          <w:rPr>
            <w:rStyle w:val="Lienhypertexte"/>
            <w:noProof/>
          </w:rPr>
          <w:t>Approbation de l’accord-cadre</w:t>
        </w:r>
        <w:r>
          <w:rPr>
            <w:noProof/>
            <w:webHidden/>
          </w:rPr>
          <w:tab/>
        </w:r>
        <w:r>
          <w:rPr>
            <w:noProof/>
            <w:webHidden/>
          </w:rPr>
          <w:fldChar w:fldCharType="begin"/>
        </w:r>
        <w:r>
          <w:rPr>
            <w:noProof/>
            <w:webHidden/>
          </w:rPr>
          <w:instrText xml:space="preserve"> PAGEREF _Toc222244242 \h </w:instrText>
        </w:r>
        <w:r>
          <w:rPr>
            <w:noProof/>
            <w:webHidden/>
          </w:rPr>
        </w:r>
        <w:r>
          <w:rPr>
            <w:noProof/>
            <w:webHidden/>
          </w:rPr>
          <w:fldChar w:fldCharType="separate"/>
        </w:r>
        <w:r>
          <w:rPr>
            <w:noProof/>
            <w:webHidden/>
          </w:rPr>
          <w:t>40</w:t>
        </w:r>
        <w:r>
          <w:rPr>
            <w:noProof/>
            <w:webHidden/>
          </w:rPr>
          <w:fldChar w:fldCharType="end"/>
        </w:r>
      </w:hyperlink>
    </w:p>
    <w:p w14:paraId="66030782" w14:textId="3EB9B230"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222244152"/>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53529058"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r w:rsidR="00F2666F">
        <w:rPr>
          <w:rFonts w:asciiTheme="minorHAnsi" w:hAnsiTheme="minorHAnsi" w:cstheme="minorHAnsi"/>
        </w:rPr>
        <w:t>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222244153"/>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lastRenderedPageBreak/>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71280063"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 xml:space="preserve">et à présenter, lors de chaque consultation pour un marché subséquent entrant dans le périmètre de l'accord-cadre, une offre au moins aussi avantageuse que celle présentée ci-dessous ;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222244154"/>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9C670E"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9C670E"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9C670E"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1FF4A6D5" w14:textId="4653D9F6" w:rsidR="00F2666F" w:rsidRPr="00F2666F" w:rsidRDefault="000876F3" w:rsidP="00F2666F">
      <w:pPr>
        <w:pStyle w:val="05ARTICLENiv1-TableauPuce1"/>
      </w:pPr>
      <w:r w:rsidRPr="00F2666F">
        <w:rPr>
          <w:rFonts w:asciiTheme="minorHAnsi" w:hAnsiTheme="minorHAnsi" w:cstheme="minorHAnsi"/>
        </w:rPr>
        <w:t>Nous ENGAGEONS sans réserve, en tant qu'entrepreneurs groupés, conformément aux stipulations des documents visés ci-dessus, à exécuter les prestations dans les conditions ci-après définies</w:t>
      </w:r>
      <w:r w:rsidR="00F2666F" w:rsidRPr="00F2666F">
        <w:rPr>
          <w:rFonts w:asciiTheme="minorHAnsi" w:hAnsiTheme="minorHAnsi" w:cstheme="minorHAnsi"/>
        </w:rPr>
        <w:t>, et à présenter, lors de chaque consultation pour un marché subséquent entrant dans le périmètre de l'accord-cadre, une offre au moins aussi avantageuse que celle présentée ci-dessous.</w:t>
      </w:r>
    </w:p>
    <w:p w14:paraId="7B171D78" w14:textId="77777777" w:rsidR="000876F3" w:rsidRPr="00F2666F" w:rsidRDefault="000876F3" w:rsidP="00F2666F">
      <w:pPr>
        <w:pStyle w:val="05ARTICLENiv1-TableauPuce1"/>
        <w:numPr>
          <w:ilvl w:val="0"/>
          <w:numId w:val="0"/>
        </w:numPr>
        <w:ind w:left="454"/>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222244155"/>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5" w:name="_Toc222244156"/>
      <w:r w:rsidRPr="00A96A79">
        <w:rPr>
          <w:bCs w:val="0"/>
          <w:color w:val="683766"/>
          <w:sz w:val="22"/>
          <w:szCs w:val="22"/>
        </w:rPr>
        <w:t>Objet d</w:t>
      </w:r>
      <w:r w:rsidR="00667EA8" w:rsidRPr="00A96A79">
        <w:rPr>
          <w:bCs w:val="0"/>
          <w:color w:val="683766"/>
          <w:sz w:val="22"/>
          <w:szCs w:val="22"/>
        </w:rPr>
        <w:t>e l’accord-cadre</w:t>
      </w:r>
      <w:bookmarkEnd w:id="15"/>
    </w:p>
    <w:p w14:paraId="33F3B141" w14:textId="4623DBB3" w:rsidR="00E80AC5" w:rsidRDefault="00667EA8" w:rsidP="001837E2">
      <w:pPr>
        <w:spacing w:before="120" w:after="120"/>
        <w:jc w:val="both"/>
        <w:rPr>
          <w:sz w:val="20"/>
          <w:szCs w:val="20"/>
        </w:rPr>
      </w:pPr>
      <w:bookmarkStart w:id="16" w:name="_Hlk184224028"/>
      <w:bookmarkStart w:id="17" w:name="_Hlk76049238"/>
      <w:bookmarkStart w:id="18"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6"/>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7"/>
    <w:bookmarkEnd w:id="18"/>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9" w:name="_Toc222244157"/>
      <w:r w:rsidRPr="00A96A79">
        <w:rPr>
          <w:bCs w:val="0"/>
          <w:color w:val="683766"/>
          <w:sz w:val="22"/>
          <w:szCs w:val="22"/>
        </w:rPr>
        <w:t>Décomposition de l’accord-cadre</w:t>
      </w:r>
      <w:bookmarkEnd w:id="19"/>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0"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185B69" w:rsidRPr="00185B69" w14:paraId="05652AF1" w14:textId="77777777" w:rsidTr="00A866AE">
        <w:trPr>
          <w:jc w:val="center"/>
        </w:trPr>
        <w:tc>
          <w:tcPr>
            <w:tcW w:w="1129" w:type="dxa"/>
            <w:shd w:val="clear" w:color="auto" w:fill="DDD9C3" w:themeFill="background2" w:themeFillShade="E6"/>
            <w:vAlign w:val="center"/>
          </w:tcPr>
          <w:p w14:paraId="6FB14C80" w14:textId="77777777" w:rsidR="00185B69" w:rsidRPr="00185B69" w:rsidRDefault="00185B69" w:rsidP="00A866AE">
            <w:pPr>
              <w:contextualSpacing/>
              <w:jc w:val="center"/>
              <w:rPr>
                <w:rFonts w:ascii="Calibri" w:hAnsi="Calibri" w:cs="Calibri"/>
                <w:b/>
                <w:bCs/>
                <w:sz w:val="20"/>
                <w:szCs w:val="20"/>
              </w:rPr>
            </w:pPr>
            <w:bookmarkStart w:id="21"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7FD0B964"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185B69" w:rsidRPr="00185B69" w14:paraId="7EFC4B4D" w14:textId="77777777" w:rsidTr="00A866AE">
        <w:trPr>
          <w:trHeight w:val="303"/>
          <w:jc w:val="center"/>
        </w:trPr>
        <w:tc>
          <w:tcPr>
            <w:tcW w:w="1129" w:type="dxa"/>
            <w:vAlign w:val="center"/>
          </w:tcPr>
          <w:p w14:paraId="152D0B89" w14:textId="77777777" w:rsidR="00185B69" w:rsidRPr="00185B69" w:rsidRDefault="00185B69" w:rsidP="00A866AE">
            <w:pPr>
              <w:contextualSpacing/>
              <w:jc w:val="center"/>
              <w:rPr>
                <w:rFonts w:ascii="Calibri" w:hAnsi="Calibri" w:cs="Calibri"/>
                <w:b/>
                <w:bCs/>
                <w:sz w:val="20"/>
                <w:szCs w:val="20"/>
              </w:rPr>
            </w:pPr>
            <w:bookmarkStart w:id="22" w:name="_Hlk184222576"/>
            <w:r w:rsidRPr="00185B69">
              <w:rPr>
                <w:rFonts w:ascii="Calibri" w:hAnsi="Calibri" w:cs="Calibri"/>
                <w:b/>
                <w:bCs/>
                <w:sz w:val="20"/>
                <w:szCs w:val="20"/>
              </w:rPr>
              <w:t>1</w:t>
            </w:r>
          </w:p>
        </w:tc>
        <w:tc>
          <w:tcPr>
            <w:tcW w:w="9072" w:type="dxa"/>
            <w:vAlign w:val="center"/>
          </w:tcPr>
          <w:p w14:paraId="7C205225"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3" w:name="_Hlk221807332"/>
            <w:r w:rsidRPr="00185B69">
              <w:rPr>
                <w:rFonts w:ascii="Calibri" w:eastAsia="Century Gothic" w:hAnsi="Calibri" w:cs="Calibri"/>
                <w:sz w:val="20"/>
                <w:szCs w:val="20"/>
              </w:rPr>
              <w:t>Assistance technique et expertise informatique dans la gestion des systèmes d’information du CNM</w:t>
            </w:r>
            <w:bookmarkEnd w:id="23"/>
          </w:p>
        </w:tc>
      </w:tr>
      <w:bookmarkEnd w:id="22"/>
      <w:tr w:rsidR="00185B69" w:rsidRPr="00185B69" w14:paraId="6E28DD9A" w14:textId="77777777" w:rsidTr="00A866AE">
        <w:trPr>
          <w:trHeight w:val="278"/>
          <w:jc w:val="center"/>
        </w:trPr>
        <w:tc>
          <w:tcPr>
            <w:tcW w:w="1129" w:type="dxa"/>
            <w:vAlign w:val="center"/>
          </w:tcPr>
          <w:p w14:paraId="2FE1BE89"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02576776" w14:textId="77777777" w:rsidR="00185B69" w:rsidRPr="00DB091B" w:rsidRDefault="00185B69" w:rsidP="00A866AE">
            <w:pPr>
              <w:contextualSpacing/>
              <w:rPr>
                <w:rFonts w:ascii="Calibri" w:eastAsia="Calibri" w:hAnsi="Calibri" w:cs="Calibri"/>
                <w:b/>
                <w:bCs/>
                <w:sz w:val="20"/>
                <w:szCs w:val="20"/>
              </w:rPr>
            </w:pPr>
            <w:r w:rsidRPr="00185B69">
              <w:rPr>
                <w:rFonts w:ascii="Calibri" w:eastAsia="Century Gothic" w:hAnsi="Calibri" w:cs="Calibri"/>
                <w:sz w:val="20"/>
                <w:szCs w:val="20"/>
              </w:rPr>
              <w:t xml:space="preserve"> </w:t>
            </w:r>
            <w:r w:rsidRPr="00DB091B">
              <w:rPr>
                <w:rFonts w:ascii="Calibri" w:eastAsia="Century Gothic" w:hAnsi="Calibri" w:cs="Calibri"/>
                <w:b/>
                <w:bCs/>
                <w:sz w:val="20"/>
                <w:szCs w:val="20"/>
              </w:rPr>
              <w:t>Tierce maintenance applicative et évolutive des applicatifs métiers</w:t>
            </w:r>
          </w:p>
        </w:tc>
      </w:tr>
      <w:tr w:rsidR="00185B69" w:rsidRPr="00185B69" w14:paraId="0C10729F" w14:textId="77777777" w:rsidTr="00A866AE">
        <w:trPr>
          <w:trHeight w:val="269"/>
          <w:jc w:val="center"/>
        </w:trPr>
        <w:tc>
          <w:tcPr>
            <w:tcW w:w="1129" w:type="dxa"/>
            <w:vAlign w:val="center"/>
          </w:tcPr>
          <w:p w14:paraId="30CA3E95"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3</w:t>
            </w:r>
          </w:p>
        </w:tc>
        <w:tc>
          <w:tcPr>
            <w:tcW w:w="9072" w:type="dxa"/>
            <w:vAlign w:val="center"/>
          </w:tcPr>
          <w:p w14:paraId="59CF983E" w14:textId="77777777" w:rsidR="00185B69" w:rsidRPr="00185B69" w:rsidRDefault="00185B69" w:rsidP="00A866AE">
            <w:pPr>
              <w:contextualSpacing/>
              <w:rPr>
                <w:rFonts w:ascii="Calibri" w:eastAsia="Century Gothic" w:hAnsi="Calibri" w:cs="Calibri"/>
                <w:sz w:val="20"/>
                <w:szCs w:val="20"/>
              </w:rPr>
            </w:pPr>
            <w:r w:rsidRPr="00185B69">
              <w:rPr>
                <w:rFonts w:ascii="Calibri" w:eastAsia="Century Gothic" w:hAnsi="Calibri" w:cs="Calibri"/>
                <w:sz w:val="20"/>
                <w:szCs w:val="20"/>
              </w:rPr>
              <w:t xml:space="preserve">Tierce maintenance applicative et évolutive de l’applicatif « </w:t>
            </w:r>
            <w:proofErr w:type="spellStart"/>
            <w:r w:rsidRPr="00185B69">
              <w:rPr>
                <w:rFonts w:ascii="Calibri" w:eastAsia="Century Gothic" w:hAnsi="Calibri" w:cs="Calibri"/>
                <w:sz w:val="20"/>
                <w:szCs w:val="20"/>
              </w:rPr>
              <w:t>Musicdb</w:t>
            </w:r>
            <w:proofErr w:type="spellEnd"/>
            <w:r w:rsidRPr="00185B69">
              <w:rPr>
                <w:rFonts w:ascii="Calibri" w:eastAsia="Century Gothic" w:hAnsi="Calibri" w:cs="Calibri"/>
                <w:sz w:val="20"/>
                <w:szCs w:val="20"/>
              </w:rPr>
              <w:t xml:space="preserve"> »</w:t>
            </w:r>
          </w:p>
        </w:tc>
      </w:tr>
      <w:tr w:rsidR="00185B69" w:rsidRPr="00185B69" w14:paraId="2AD7BDCA" w14:textId="77777777" w:rsidTr="00A866AE">
        <w:trPr>
          <w:trHeight w:val="287"/>
          <w:jc w:val="center"/>
        </w:trPr>
        <w:tc>
          <w:tcPr>
            <w:tcW w:w="1129" w:type="dxa"/>
            <w:vAlign w:val="center"/>
          </w:tcPr>
          <w:p w14:paraId="6E09E70B"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CF1946C"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sites web CNM.fr / </w:t>
            </w:r>
            <w:proofErr w:type="spellStart"/>
            <w:r w:rsidRPr="00185B69">
              <w:rPr>
                <w:rFonts w:ascii="Calibri" w:eastAsia="Century Gothic" w:hAnsi="Calibri" w:cs="Calibri"/>
                <w:sz w:val="20"/>
                <w:szCs w:val="20"/>
              </w:rPr>
              <w:t>CNMLab</w:t>
            </w:r>
            <w:proofErr w:type="spellEnd"/>
            <w:r w:rsidRPr="00185B69">
              <w:rPr>
                <w:rFonts w:ascii="Calibri" w:eastAsia="Century Gothic" w:hAnsi="Calibri" w:cs="Calibri"/>
                <w:sz w:val="20"/>
                <w:szCs w:val="20"/>
              </w:rPr>
              <w:t xml:space="preserve"> / </w:t>
            </w:r>
            <w:proofErr w:type="spellStart"/>
            <w:r w:rsidRPr="00185B69">
              <w:rPr>
                <w:rFonts w:ascii="Calibri" w:eastAsia="Century Gothic" w:hAnsi="Calibri" w:cs="Calibri"/>
                <w:sz w:val="20"/>
                <w:szCs w:val="20"/>
              </w:rPr>
              <w:t>IntranetCollab</w:t>
            </w:r>
            <w:proofErr w:type="spellEnd"/>
          </w:p>
        </w:tc>
      </w:tr>
      <w:tr w:rsidR="00185B69" w:rsidRPr="00185B69" w14:paraId="0E742B9C" w14:textId="77777777" w:rsidTr="00A866AE">
        <w:trPr>
          <w:trHeight w:val="209"/>
          <w:jc w:val="center"/>
        </w:trPr>
        <w:tc>
          <w:tcPr>
            <w:tcW w:w="1129" w:type="dxa"/>
            <w:vAlign w:val="center"/>
          </w:tcPr>
          <w:p w14:paraId="3198BDF5"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4BBC3619"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web « </w:t>
            </w:r>
            <w:proofErr w:type="spellStart"/>
            <w:r w:rsidRPr="00185B69">
              <w:rPr>
                <w:rFonts w:ascii="Calibri" w:eastAsia="Century Gothic" w:hAnsi="Calibri" w:cs="Calibri"/>
                <w:sz w:val="20"/>
                <w:szCs w:val="20"/>
              </w:rPr>
              <w:t>What</w:t>
            </w:r>
            <w:proofErr w:type="spellEnd"/>
            <w:r w:rsidRPr="00185B69">
              <w:rPr>
                <w:rFonts w:ascii="Calibri" w:eastAsia="Century Gothic" w:hAnsi="Calibri" w:cs="Calibri"/>
                <w:sz w:val="20"/>
                <w:szCs w:val="20"/>
              </w:rPr>
              <w:t xml:space="preserve"> the France »</w:t>
            </w:r>
          </w:p>
        </w:tc>
      </w:tr>
      <w:tr w:rsidR="00185B69" w:rsidRPr="00185B69" w14:paraId="4BDB5F97" w14:textId="77777777" w:rsidTr="00A866AE">
        <w:trPr>
          <w:trHeight w:val="241"/>
          <w:jc w:val="center"/>
        </w:trPr>
        <w:tc>
          <w:tcPr>
            <w:tcW w:w="1129" w:type="dxa"/>
            <w:vAlign w:val="center"/>
          </w:tcPr>
          <w:p w14:paraId="19B9C0F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62B72AF"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 La Boutique »</w:t>
            </w:r>
          </w:p>
        </w:tc>
      </w:tr>
      <w:tr w:rsidR="00185B69" w:rsidRPr="00185B69" w14:paraId="012ACDF9" w14:textId="77777777" w:rsidTr="00A866AE">
        <w:trPr>
          <w:trHeight w:val="259"/>
          <w:jc w:val="center"/>
        </w:trPr>
        <w:tc>
          <w:tcPr>
            <w:tcW w:w="1129" w:type="dxa"/>
            <w:vAlign w:val="center"/>
          </w:tcPr>
          <w:p w14:paraId="39EF10A7"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235EA69E"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Analyse de performances et conception d’interface graphique utilisateur des sites du CNM</w:t>
            </w:r>
          </w:p>
        </w:tc>
      </w:tr>
      <w:tr w:rsidR="00185B69" w:rsidRPr="00185B69" w14:paraId="2FF7B597" w14:textId="77777777" w:rsidTr="00A866AE">
        <w:trPr>
          <w:trHeight w:val="149"/>
          <w:jc w:val="center"/>
        </w:trPr>
        <w:tc>
          <w:tcPr>
            <w:tcW w:w="1129" w:type="dxa"/>
            <w:vAlign w:val="center"/>
          </w:tcPr>
          <w:p w14:paraId="622C836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60B8E360" w14:textId="77777777" w:rsidR="00185B69" w:rsidRPr="00185B69" w:rsidRDefault="00185B69" w:rsidP="00A866AE">
            <w:pPr>
              <w:contextualSpacing/>
              <w:rPr>
                <w:rFonts w:ascii="Calibri" w:hAnsi="Calibri" w:cs="Calibri"/>
                <w:sz w:val="20"/>
                <w:szCs w:val="20"/>
              </w:rPr>
            </w:pPr>
            <w:r w:rsidRPr="00185B69">
              <w:rPr>
                <w:rFonts w:ascii="Calibri" w:hAnsi="Calibri" w:cs="Calibri"/>
                <w:sz w:val="20"/>
                <w:szCs w:val="20"/>
              </w:rPr>
              <w:t xml:space="preserve"> Audit d’accessibilité des sites du CNM (RGAA)</w:t>
            </w:r>
          </w:p>
        </w:tc>
      </w:tr>
    </w:tbl>
    <w:bookmarkEnd w:id="21"/>
    <w:p w14:paraId="78E4AD33" w14:textId="63C5A151"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185B69">
        <w:rPr>
          <w:b/>
          <w:bCs/>
          <w:color w:val="FF0000"/>
          <w:sz w:val="20"/>
          <w:szCs w:val="20"/>
          <w:u w:val="single"/>
        </w:rPr>
        <w:t>lot n°</w:t>
      </w:r>
      <w:r w:rsidR="006A7B60" w:rsidRPr="00185B69">
        <w:rPr>
          <w:b/>
          <w:bCs/>
          <w:color w:val="FF0000"/>
          <w:sz w:val="20"/>
          <w:szCs w:val="20"/>
          <w:u w:val="single"/>
        </w:rPr>
        <w:t>2</w:t>
      </w:r>
      <w:r w:rsidRPr="00185B69">
        <w:rPr>
          <w:b/>
          <w:bCs/>
          <w:color w:val="FF0000"/>
          <w:sz w:val="20"/>
          <w:szCs w:val="20"/>
          <w:u w:val="single"/>
        </w:rPr>
        <w:t>.</w:t>
      </w:r>
      <w:r w:rsidRPr="00C749C5">
        <w:rPr>
          <w:b/>
          <w:bCs/>
          <w:sz w:val="20"/>
          <w:szCs w:val="20"/>
          <w:u w:val="single"/>
        </w:rPr>
        <w:t xml:space="preserve"> </w:t>
      </w:r>
    </w:p>
    <w:bookmarkEnd w:id="20"/>
    <w:p w14:paraId="77533D4B" w14:textId="77777777" w:rsidR="00E50274" w:rsidRPr="006A7B60" w:rsidRDefault="00E50274" w:rsidP="00E50274">
      <w:pPr>
        <w:spacing w:before="240"/>
        <w:ind w:left="993"/>
        <w:jc w:val="both"/>
        <w:rPr>
          <w:b/>
          <w:bCs/>
          <w:color w:val="FFC000"/>
          <w:sz w:val="20"/>
          <w:szCs w:val="20"/>
        </w:rPr>
      </w:pPr>
      <w:r w:rsidRPr="006A7B60">
        <w:rPr>
          <w:b/>
          <w:bCs/>
          <w:color w:val="FFC000"/>
          <w:sz w:val="20"/>
          <w:szCs w:val="20"/>
        </w:rPr>
        <w:t xml:space="preserve">2.2.2 Variante, prestations supplémentaires et tranches optionnelles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num" w:pos="1134"/>
        </w:tabs>
        <w:spacing w:before="0" w:after="0"/>
        <w:ind w:left="1134" w:hanging="1145"/>
        <w:contextualSpacing/>
        <w:jc w:val="both"/>
        <w:rPr>
          <w:bCs w:val="0"/>
          <w:color w:val="683766"/>
          <w:sz w:val="22"/>
          <w:szCs w:val="22"/>
        </w:rPr>
      </w:pPr>
      <w:bookmarkStart w:id="24" w:name="_Toc222244158"/>
      <w:r w:rsidRPr="00A96A79">
        <w:rPr>
          <w:bCs w:val="0"/>
          <w:color w:val="683766"/>
          <w:sz w:val="22"/>
          <w:szCs w:val="22"/>
        </w:rPr>
        <w:t>Forme de l’accord-cadre</w:t>
      </w:r>
      <w:bookmarkEnd w:id="24"/>
      <w:r w:rsidR="002C2F10" w:rsidRPr="00A96A79">
        <w:rPr>
          <w:bCs w:val="0"/>
          <w:color w:val="683766"/>
          <w:sz w:val="22"/>
          <w:szCs w:val="22"/>
        </w:rPr>
        <w:t xml:space="preserve"> </w:t>
      </w:r>
    </w:p>
    <w:p w14:paraId="63D4685D" w14:textId="78EFDD27" w:rsidR="00E82BFA" w:rsidRPr="00185B69" w:rsidRDefault="00C749C5" w:rsidP="00853CD6">
      <w:pPr>
        <w:spacing w:before="240"/>
        <w:jc w:val="both"/>
        <w:rPr>
          <w:sz w:val="20"/>
          <w:szCs w:val="20"/>
        </w:rPr>
      </w:pPr>
      <w:bookmarkStart w:id="25" w:name="_Hlk184223084"/>
      <w:r>
        <w:rPr>
          <w:b/>
          <w:bCs/>
          <w:sz w:val="20"/>
          <w:szCs w:val="20"/>
        </w:rPr>
        <w:t xml:space="preserve">Le </w:t>
      </w:r>
      <w:r w:rsidR="00FE6644">
        <w:rPr>
          <w:b/>
          <w:bCs/>
          <w:sz w:val="20"/>
          <w:szCs w:val="20"/>
        </w:rPr>
        <w:t xml:space="preserve">présent </w:t>
      </w:r>
      <w:r>
        <w:rPr>
          <w:b/>
          <w:bCs/>
          <w:sz w:val="20"/>
          <w:szCs w:val="20"/>
        </w:rPr>
        <w:t>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sidR="00D022FE">
        <w:rPr>
          <w:b/>
          <w:bCs/>
          <w:sz w:val="20"/>
          <w:szCs w:val="20"/>
        </w:rPr>
        <w:t>mono-attributaire</w:t>
      </w:r>
      <w:r w:rsidR="00FE6644">
        <w:rPr>
          <w:b/>
          <w:bCs/>
          <w:sz w:val="20"/>
          <w:szCs w:val="20"/>
        </w:rPr>
        <w:t xml:space="preserve"> mixte.</w:t>
      </w:r>
      <w:r>
        <w:rPr>
          <w:b/>
          <w:bCs/>
          <w:sz w:val="20"/>
          <w:szCs w:val="20"/>
        </w:rPr>
        <w:t xml:space="preserve"> </w:t>
      </w:r>
      <w:r w:rsidR="00FE6644">
        <w:rPr>
          <w:b/>
          <w:bCs/>
          <w:sz w:val="20"/>
          <w:szCs w:val="20"/>
        </w:rPr>
        <w:t xml:space="preserve">Il s’exécutera,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FE6644">
        <w:rPr>
          <w:sz w:val="20"/>
          <w:szCs w:val="20"/>
        </w:rPr>
        <w:t xml:space="preserve">pour partie à </w:t>
      </w:r>
      <w:r w:rsidR="00FE6644" w:rsidRPr="00185B69">
        <w:rPr>
          <w:b/>
          <w:bCs/>
          <w:sz w:val="20"/>
          <w:szCs w:val="20"/>
        </w:rPr>
        <w:t>marchés subséquents</w:t>
      </w:r>
      <w:r w:rsidR="00FE6644">
        <w:rPr>
          <w:sz w:val="20"/>
          <w:szCs w:val="20"/>
        </w:rPr>
        <w:t xml:space="preserve"> et pour partie </w:t>
      </w:r>
      <w:r w:rsidR="00FE6644" w:rsidRPr="00185B69">
        <w:rPr>
          <w:b/>
          <w:bCs/>
          <w:sz w:val="20"/>
          <w:szCs w:val="20"/>
        </w:rPr>
        <w:t>à bons de commande</w:t>
      </w:r>
      <w:r w:rsidR="00185B69">
        <w:rPr>
          <w:sz w:val="20"/>
          <w:szCs w:val="20"/>
        </w:rPr>
        <w:t xml:space="preserve">, sur la base du Bordereau de Prix Unitaire. </w:t>
      </w:r>
    </w:p>
    <w:p w14:paraId="60F0AF1D" w14:textId="77777777" w:rsidR="00FE6644" w:rsidRPr="00FE6644" w:rsidRDefault="00FE6644" w:rsidP="00FE6644">
      <w:pPr>
        <w:spacing w:before="120" w:after="120"/>
        <w:jc w:val="both"/>
        <w:rPr>
          <w:sz w:val="20"/>
          <w:szCs w:val="20"/>
        </w:rPr>
      </w:pPr>
      <w:r w:rsidRPr="00FE6644">
        <w:rPr>
          <w:b/>
          <w:bCs/>
          <w:sz w:val="20"/>
          <w:szCs w:val="20"/>
        </w:rPr>
        <w:t>Concernant la part des prestations exécutées au moyen de bons de commande</w:t>
      </w:r>
      <w:r w:rsidRPr="00FE6644">
        <w:rPr>
          <w:sz w:val="20"/>
          <w:szCs w:val="20"/>
        </w:rPr>
        <w:t xml:space="preserve">, la commande sera notifiée par l’acheteur par l’émission de bons de commande au fur et à mesure de ses besoins. Les prestations prévues dans le Bordereau des Prix Unitaires annexé au présent accord-cadre (BPU-AC) pourront faire l’objet de bons de commande. </w:t>
      </w:r>
    </w:p>
    <w:p w14:paraId="0C7AC813" w14:textId="77777777" w:rsidR="00FE6644" w:rsidRPr="00FE6644" w:rsidRDefault="00FE6644" w:rsidP="00FE6644">
      <w:pPr>
        <w:tabs>
          <w:tab w:val="left" w:pos="1134"/>
          <w:tab w:val="left" w:pos="1418"/>
        </w:tabs>
        <w:spacing w:before="120"/>
        <w:jc w:val="both"/>
        <w:rPr>
          <w:sz w:val="20"/>
          <w:szCs w:val="20"/>
        </w:rPr>
      </w:pPr>
      <w:r w:rsidRPr="00FE6644">
        <w:rPr>
          <w:b/>
          <w:bCs/>
          <w:sz w:val="20"/>
          <w:szCs w:val="20"/>
        </w:rPr>
        <w:t>Concernant la part des prestations exécutées au moyen de marchés subséquents,</w:t>
      </w:r>
      <w:r w:rsidRPr="00FE6644">
        <w:rPr>
          <w:sz w:val="20"/>
          <w:szCs w:val="20"/>
        </w:rPr>
        <w:t xml:space="preserve"> ceux-ci seront conclus avec le titulaire pour les prestations dites complexes telles que définies dans le CCTP, dont les contours seront précisés en cours d’exécution de l’accord-cadre. Les marchés subséquents pourront compléter les termes fixés par l’accord-cadre sans les modifier substantiellement.</w:t>
      </w:r>
    </w:p>
    <w:p w14:paraId="4FEAD129" w14:textId="26660628"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26" w:name="_Toc248736077"/>
      <w:bookmarkStart w:id="27" w:name="_Toc158813767"/>
      <w:bookmarkStart w:id="28" w:name="_Toc222244159"/>
      <w:bookmarkEnd w:id="25"/>
      <w:r w:rsidRPr="00A96A79">
        <w:rPr>
          <w:bCs w:val="0"/>
          <w:color w:val="683766"/>
          <w:sz w:val="22"/>
          <w:szCs w:val="22"/>
        </w:rPr>
        <w:lastRenderedPageBreak/>
        <w:t xml:space="preserve">Représentation </w:t>
      </w:r>
      <w:bookmarkStart w:id="29" w:name="_Toc125272994"/>
      <w:bookmarkStart w:id="30" w:name="_Toc221004742"/>
      <w:bookmarkEnd w:id="26"/>
      <w:bookmarkEnd w:id="27"/>
      <w:bookmarkEnd w:id="29"/>
      <w:bookmarkEnd w:id="30"/>
      <w:r w:rsidR="00A42B1A">
        <w:rPr>
          <w:bCs w:val="0"/>
          <w:color w:val="683766"/>
          <w:sz w:val="22"/>
          <w:szCs w:val="22"/>
        </w:rPr>
        <w:t>du titulaire</w:t>
      </w:r>
      <w:bookmarkEnd w:id="28"/>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1" w:name="_Toc158813768"/>
      <w:bookmarkStart w:id="32" w:name="_Toc248736078"/>
      <w:bookmarkStart w:id="33" w:name="_Toc236631696"/>
      <w:bookmarkStart w:id="34" w:name="_Toc222244160"/>
      <w:r w:rsidRPr="00A96A79">
        <w:rPr>
          <w:bCs w:val="0"/>
          <w:color w:val="683766"/>
          <w:sz w:val="22"/>
          <w:szCs w:val="22"/>
        </w:rPr>
        <w:t>Forme des notifications et informations au titulaire</w:t>
      </w:r>
      <w:bookmarkEnd w:id="31"/>
      <w:bookmarkEnd w:id="32"/>
      <w:bookmarkEnd w:id="33"/>
      <w:bookmarkEnd w:id="34"/>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DB091B">
      <w:pPr>
        <w:pStyle w:val="Paragraphedeliste"/>
        <w:numPr>
          <w:ilvl w:val="0"/>
          <w:numId w:val="9"/>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DB091B">
      <w:pPr>
        <w:pStyle w:val="Paragraphedeliste"/>
        <w:numPr>
          <w:ilvl w:val="0"/>
          <w:numId w:val="9"/>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DB091B">
      <w:pPr>
        <w:pStyle w:val="Paragraphedeliste"/>
        <w:numPr>
          <w:ilvl w:val="0"/>
          <w:numId w:val="9"/>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 xml:space="preserve">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w:t>
      </w:r>
      <w:r w:rsidRPr="00806B57">
        <w:rPr>
          <w:sz w:val="20"/>
          <w:szCs w:val="20"/>
        </w:rPr>
        <w:lastRenderedPageBreak/>
        <w:t>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5" w:name="_Toc158813769"/>
      <w:bookmarkStart w:id="36" w:name="_Toc222244161"/>
      <w:r w:rsidRPr="00A96A79">
        <w:rPr>
          <w:bCs w:val="0"/>
          <w:color w:val="683766"/>
          <w:sz w:val="22"/>
          <w:szCs w:val="22"/>
        </w:rPr>
        <w:t>Notification des modifications portant sur la situation juridique ou économique du titulaire</w:t>
      </w:r>
      <w:bookmarkEnd w:id="35"/>
      <w:bookmarkEnd w:id="36"/>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DB091B">
      <w:pPr>
        <w:pStyle w:val="Paragraphedeliste"/>
        <w:numPr>
          <w:ilvl w:val="0"/>
          <w:numId w:val="10"/>
        </w:numPr>
        <w:jc w:val="both"/>
        <w:rPr>
          <w:sz w:val="20"/>
          <w:szCs w:val="20"/>
        </w:rPr>
      </w:pPr>
      <w:r w:rsidRPr="00806B57">
        <w:rPr>
          <w:sz w:val="20"/>
          <w:szCs w:val="20"/>
        </w:rPr>
        <w:t>Aux personnes ayant le pouvoir de l’engager ;</w:t>
      </w:r>
    </w:p>
    <w:p w14:paraId="6EEA0AF3" w14:textId="77777777" w:rsidR="00454554" w:rsidRPr="00806B57" w:rsidRDefault="00454554" w:rsidP="00DB091B">
      <w:pPr>
        <w:pStyle w:val="Paragraphedeliste"/>
        <w:numPr>
          <w:ilvl w:val="0"/>
          <w:numId w:val="10"/>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DB091B">
      <w:pPr>
        <w:pStyle w:val="Paragraphedeliste"/>
        <w:numPr>
          <w:ilvl w:val="0"/>
          <w:numId w:val="10"/>
        </w:numPr>
        <w:jc w:val="both"/>
        <w:rPr>
          <w:sz w:val="20"/>
          <w:szCs w:val="20"/>
        </w:rPr>
      </w:pPr>
      <w:r w:rsidRPr="00806B57">
        <w:rPr>
          <w:sz w:val="20"/>
          <w:szCs w:val="20"/>
        </w:rPr>
        <w:t>A sa raison sociale ou à sa dénomination ;</w:t>
      </w:r>
    </w:p>
    <w:p w14:paraId="22273394" w14:textId="77777777" w:rsidR="00454554" w:rsidRPr="00806B57" w:rsidRDefault="00454554" w:rsidP="00DB091B">
      <w:pPr>
        <w:pStyle w:val="Paragraphedeliste"/>
        <w:numPr>
          <w:ilvl w:val="0"/>
          <w:numId w:val="10"/>
        </w:numPr>
        <w:jc w:val="both"/>
        <w:rPr>
          <w:sz w:val="20"/>
          <w:szCs w:val="20"/>
        </w:rPr>
      </w:pPr>
      <w:r w:rsidRPr="00806B57">
        <w:rPr>
          <w:sz w:val="20"/>
          <w:szCs w:val="20"/>
        </w:rPr>
        <w:t>A son adresse ou à son siège social ;</w:t>
      </w:r>
    </w:p>
    <w:p w14:paraId="5DFD4078" w14:textId="77777777" w:rsidR="00454554" w:rsidRPr="00806B57" w:rsidRDefault="00454554" w:rsidP="00DB091B">
      <w:pPr>
        <w:pStyle w:val="Paragraphedeliste"/>
        <w:numPr>
          <w:ilvl w:val="0"/>
          <w:numId w:val="10"/>
        </w:numPr>
        <w:jc w:val="both"/>
        <w:rPr>
          <w:sz w:val="20"/>
          <w:szCs w:val="20"/>
        </w:rPr>
      </w:pPr>
      <w:r w:rsidRPr="00806B57">
        <w:rPr>
          <w:sz w:val="20"/>
          <w:szCs w:val="20"/>
        </w:rPr>
        <w:t>A ses coordonnées bancaires ;</w:t>
      </w:r>
    </w:p>
    <w:p w14:paraId="7783CB6B" w14:textId="791CB94A" w:rsidR="00454554" w:rsidRPr="00806B57" w:rsidRDefault="00454554" w:rsidP="00DB091B">
      <w:pPr>
        <w:pStyle w:val="Paragraphedeliste"/>
        <w:numPr>
          <w:ilvl w:val="0"/>
          <w:numId w:val="10"/>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7" w:name="_Toc158813770"/>
      <w:bookmarkStart w:id="38" w:name="_Toc222244162"/>
      <w:r w:rsidRPr="00A96A79">
        <w:rPr>
          <w:bCs w:val="0"/>
          <w:color w:val="683766"/>
          <w:sz w:val="22"/>
          <w:szCs w:val="22"/>
        </w:rPr>
        <w:t>Conduite des prestations par une personne nommément désignée</w:t>
      </w:r>
      <w:bookmarkEnd w:id="37"/>
      <w:bookmarkEnd w:id="38"/>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6A2C02E4"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267465">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DB091B">
      <w:pPr>
        <w:pStyle w:val="05ARTICLENiv1-Texte"/>
        <w:numPr>
          <w:ilvl w:val="0"/>
          <w:numId w:val="16"/>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1727B30" w:rsidR="00454554" w:rsidRPr="00806B57" w:rsidRDefault="00454554" w:rsidP="00DB091B">
      <w:pPr>
        <w:pStyle w:val="05ARTICLENiv1-Texte"/>
        <w:numPr>
          <w:ilvl w:val="0"/>
          <w:numId w:val="16"/>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lastRenderedPageBreak/>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9"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39"/>
    </w:p>
    <w:p w14:paraId="286B2419" w14:textId="5585C1FF"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40" w:name="_Toc158813771"/>
      <w:bookmarkStart w:id="41" w:name="_Toc222244163"/>
      <w:r w:rsidRPr="00A96A79">
        <w:rPr>
          <w:bCs w:val="0"/>
          <w:color w:val="683766"/>
          <w:sz w:val="22"/>
          <w:szCs w:val="22"/>
        </w:rPr>
        <w:t>Ordre de service</w:t>
      </w:r>
      <w:bookmarkEnd w:id="40"/>
      <w:bookmarkEnd w:id="41"/>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2" w:name="_Toc222244164"/>
      <w:r w:rsidRPr="00A96A79">
        <w:rPr>
          <w:bCs w:val="0"/>
          <w:color w:val="683766"/>
          <w:sz w:val="22"/>
          <w:szCs w:val="22"/>
        </w:rPr>
        <w:t>Réglementation applicable</w:t>
      </w:r>
      <w:bookmarkEnd w:id="42"/>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3" w:name="_Toc222244165"/>
      <w:r w:rsidRPr="00A96A79">
        <w:rPr>
          <w:bCs w:val="0"/>
          <w:color w:val="683766"/>
          <w:sz w:val="22"/>
          <w:szCs w:val="22"/>
        </w:rPr>
        <w:t>Sous-traitance</w:t>
      </w:r>
      <w:bookmarkEnd w:id="43"/>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lastRenderedPageBreak/>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num" w:pos="1134"/>
        </w:tabs>
        <w:spacing w:before="120" w:after="120"/>
        <w:ind w:left="1134" w:hanging="1145"/>
        <w:contextualSpacing/>
        <w:jc w:val="both"/>
        <w:rPr>
          <w:bCs w:val="0"/>
          <w:color w:val="683766"/>
          <w:sz w:val="22"/>
          <w:szCs w:val="22"/>
        </w:rPr>
      </w:pPr>
      <w:bookmarkStart w:id="44" w:name="_Toc222244166"/>
      <w:r w:rsidRPr="00A96A79">
        <w:rPr>
          <w:bCs w:val="0"/>
          <w:color w:val="683766"/>
          <w:sz w:val="22"/>
          <w:szCs w:val="22"/>
        </w:rPr>
        <w:t>Réalisation de prestations similaires</w:t>
      </w:r>
      <w:bookmarkEnd w:id="44"/>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2F231DB2" w14:textId="085C3589" w:rsidR="0016356D" w:rsidRPr="0079750C" w:rsidRDefault="00B55859" w:rsidP="0079750C">
      <w:pPr>
        <w:pStyle w:val="Titre1"/>
        <w:shd w:val="clear" w:color="auto" w:fill="DC8C00"/>
        <w:contextualSpacing/>
        <w:rPr>
          <w:color w:val="FFFFFF" w:themeColor="background1"/>
        </w:rPr>
      </w:pPr>
      <w:bookmarkStart w:id="45" w:name="_Toc222244167"/>
      <w:r>
        <w:rPr>
          <w:color w:val="FFFFFF" w:themeColor="background1"/>
        </w:rPr>
        <w:t>Durée de l’accord-cadre– Délai d’exécution - Reconduction</w:t>
      </w:r>
      <w:bookmarkEnd w:id="45"/>
    </w:p>
    <w:p w14:paraId="3667A951" w14:textId="05A3DED0" w:rsidR="00EC4429" w:rsidRPr="00A96A79" w:rsidRDefault="00EC4429"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6" w:name="_Toc222244168"/>
      <w:r w:rsidRPr="00A96A79">
        <w:rPr>
          <w:bCs w:val="0"/>
          <w:color w:val="683766"/>
          <w:sz w:val="22"/>
          <w:szCs w:val="22"/>
        </w:rPr>
        <w:t>Durée d</w:t>
      </w:r>
      <w:r w:rsidR="00B55859" w:rsidRPr="00A96A79">
        <w:rPr>
          <w:bCs w:val="0"/>
          <w:color w:val="683766"/>
          <w:sz w:val="22"/>
          <w:szCs w:val="22"/>
        </w:rPr>
        <w:t>e l’accord-cadre</w:t>
      </w:r>
      <w:bookmarkEnd w:id="46"/>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7" w:name="_Toc222244169"/>
      <w:r w:rsidRPr="00A96A79">
        <w:rPr>
          <w:bCs w:val="0"/>
          <w:color w:val="683766"/>
          <w:sz w:val="22"/>
          <w:szCs w:val="22"/>
        </w:rPr>
        <w:t>Reconduction</w:t>
      </w:r>
      <w:bookmarkEnd w:id="47"/>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48"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48"/>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30489D4B" w:rsidR="00F413EE" w:rsidRPr="0015720B" w:rsidRDefault="00D3211A" w:rsidP="0079750C">
      <w:pPr>
        <w:pStyle w:val="Titre2"/>
        <w:shd w:val="clear" w:color="auto" w:fill="auto"/>
        <w:tabs>
          <w:tab w:val="clear" w:pos="1986"/>
          <w:tab w:val="num" w:pos="720"/>
          <w:tab w:val="num" w:pos="1418"/>
        </w:tabs>
        <w:spacing w:before="120" w:after="120"/>
        <w:ind w:left="720" w:hanging="720"/>
        <w:contextualSpacing/>
        <w:jc w:val="both"/>
        <w:rPr>
          <w:bCs w:val="0"/>
          <w:color w:val="683766"/>
          <w:sz w:val="22"/>
          <w:szCs w:val="22"/>
        </w:rPr>
      </w:pPr>
      <w:bookmarkStart w:id="49" w:name="_Toc222244170"/>
      <w:r w:rsidRPr="00D3211A">
        <w:rPr>
          <w:bCs w:val="0"/>
          <w:color w:val="683766"/>
          <w:sz w:val="22"/>
          <w:szCs w:val="22"/>
        </w:rPr>
        <w:t>Durée des marchés subséquents et bons de commande conclus sur la base de l’accord-cadre</w:t>
      </w:r>
      <w:bookmarkEnd w:id="49"/>
    </w:p>
    <w:p w14:paraId="63F8FE31" w14:textId="3441A5D0"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0" w:name="_Toc356146844"/>
      <w:bookmarkStart w:id="51" w:name="_Toc482699941"/>
      <w:r>
        <w:rPr>
          <w:rFonts w:asciiTheme="minorHAnsi" w:eastAsiaTheme="minorHAnsi" w:hAnsiTheme="minorHAnsi" w:cstheme="minorBidi"/>
          <w:bCs/>
          <w:color w:val="auto"/>
          <w:spacing w:val="0"/>
          <w:lang w:eastAsia="en-US"/>
        </w:rPr>
        <w:t xml:space="preserve">Les </w:t>
      </w:r>
      <w:r w:rsidR="00D3211A">
        <w:rPr>
          <w:rFonts w:asciiTheme="minorHAnsi" w:eastAsiaTheme="minorHAnsi" w:hAnsiTheme="minorHAnsi" w:cstheme="minorBidi"/>
          <w:bCs/>
          <w:color w:val="auto"/>
          <w:spacing w:val="0"/>
          <w:lang w:eastAsia="en-US"/>
        </w:rPr>
        <w:t xml:space="preserve">marchés subséquents et les </w:t>
      </w:r>
      <w:r>
        <w:rPr>
          <w:rFonts w:asciiTheme="minorHAnsi" w:eastAsiaTheme="minorHAnsi" w:hAnsiTheme="minorHAnsi" w:cstheme="minorBidi"/>
          <w:bCs/>
          <w:color w:val="auto"/>
          <w:spacing w:val="0"/>
          <w:lang w:eastAsia="en-US"/>
        </w:rPr>
        <w:t>bons de commande conclus pendant la durée de validité de l’accord-cadre détermineront les délais particuliers de réalisation des prestations concernées, dans le respect des conditions de l’article R. 2162-2 du code de la commande publique.</w:t>
      </w:r>
    </w:p>
    <w:p w14:paraId="1CEB271D" w14:textId="1E56483E" w:rsidR="001B071C"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Dans le cas où la durée effective des prestations serait supérieure à la durée de base de chaque marché subséquent, le titulaire ne pourra prétendre à une rémunération supplémentaire, sauf si cela résulte d’une décision de l’acheteur. Un avenant au marché subséquent sera alors nécessaire. </w:t>
      </w:r>
    </w:p>
    <w:p w14:paraId="4A52A05D" w14:textId="1368FC11" w:rsidR="0077425E"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Hlk215821562"/>
      <w:r>
        <w:rPr>
          <w:rFonts w:asciiTheme="minorHAnsi" w:eastAsiaTheme="minorHAnsi" w:hAnsiTheme="minorHAnsi" w:cstheme="minorBidi"/>
          <w:bCs/>
          <w:color w:val="auto"/>
          <w:spacing w:val="0"/>
          <w:lang w:eastAsia="en-US"/>
        </w:rPr>
        <w:t xml:space="preserve">Pour les bons de commande, le </w:t>
      </w:r>
      <w:r w:rsidR="0077425E">
        <w:rPr>
          <w:rFonts w:asciiTheme="minorHAnsi" w:eastAsiaTheme="minorHAnsi" w:hAnsiTheme="minorHAnsi" w:cstheme="minorBidi"/>
          <w:bCs/>
          <w:color w:val="auto"/>
          <w:spacing w:val="0"/>
          <w:lang w:eastAsia="en-US"/>
        </w:rPr>
        <w:t>délai d’exécution court à compter de la date prescrite par le bon de commande ou, à défaut, à compter de la réception du bon de commande par le titulaire. Les commandes conclues avant le terme de l’accord-cadre doivent être mené</w:t>
      </w:r>
      <w:r w:rsidR="00D3211A">
        <w:rPr>
          <w:rFonts w:asciiTheme="minorHAnsi" w:eastAsiaTheme="minorHAnsi" w:hAnsiTheme="minorHAnsi" w:cstheme="minorBidi"/>
          <w:bCs/>
          <w:color w:val="auto"/>
          <w:spacing w:val="0"/>
          <w:lang w:eastAsia="en-US"/>
        </w:rPr>
        <w:t>e</w:t>
      </w:r>
      <w:r w:rsidR="0077425E">
        <w:rPr>
          <w:rFonts w:asciiTheme="minorHAnsi" w:eastAsiaTheme="minorHAnsi" w:hAnsiTheme="minorHAnsi" w:cstheme="minorBidi"/>
          <w:bCs/>
          <w:color w:val="auto"/>
          <w:spacing w:val="0"/>
          <w:lang w:eastAsia="en-US"/>
        </w:rPr>
        <w:t>s jusqu’au terme de la mission même si l’accord-cadre se termine entre temps</w:t>
      </w:r>
      <w:r w:rsidR="00D3211A">
        <w:rPr>
          <w:rFonts w:asciiTheme="minorHAnsi" w:eastAsiaTheme="minorHAnsi" w:hAnsiTheme="minorHAnsi" w:cstheme="minorBidi"/>
          <w:bCs/>
          <w:color w:val="auto"/>
          <w:spacing w:val="0"/>
          <w:lang w:eastAsia="en-US"/>
        </w:rPr>
        <w:t>.</w:t>
      </w:r>
      <w:r w:rsidR="0077425E">
        <w:rPr>
          <w:rFonts w:asciiTheme="minorHAnsi" w:eastAsiaTheme="minorHAnsi" w:hAnsiTheme="minorHAnsi" w:cstheme="minorBidi"/>
          <w:bCs/>
          <w:color w:val="auto"/>
          <w:spacing w:val="0"/>
          <w:lang w:eastAsia="en-US"/>
        </w:rPr>
        <w:t xml:space="preserve"> </w:t>
      </w:r>
    </w:p>
    <w:bookmarkEnd w:id="52"/>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5AF22F4F" w14:textId="5A221DBE" w:rsidR="0015720B" w:rsidRPr="0079750C" w:rsidRDefault="0015720B" w:rsidP="0079750C">
      <w:pPr>
        <w:pStyle w:val="Titre1"/>
        <w:shd w:val="clear" w:color="auto" w:fill="DC8C00"/>
        <w:contextualSpacing/>
        <w:rPr>
          <w:color w:val="FFFFFF" w:themeColor="background1"/>
        </w:rPr>
      </w:pPr>
      <w:bookmarkStart w:id="53" w:name="_Toc204705977"/>
      <w:bookmarkStart w:id="54" w:name="_Toc222244171"/>
      <w:r>
        <w:rPr>
          <w:color w:val="FFFFFF" w:themeColor="background1"/>
        </w:rPr>
        <w:t>Passation marchés subséquents</w:t>
      </w:r>
      <w:bookmarkEnd w:id="53"/>
      <w:bookmarkEnd w:id="54"/>
    </w:p>
    <w:p w14:paraId="180DD141"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5" w:name="_Toc183615403"/>
      <w:bookmarkStart w:id="56" w:name="_Toc188970968"/>
      <w:bookmarkStart w:id="57" w:name="_Toc204705978"/>
      <w:bookmarkStart w:id="58" w:name="_Toc222244172"/>
      <w:r w:rsidRPr="00D3137B">
        <w:rPr>
          <w:bCs w:val="0"/>
          <w:color w:val="683766"/>
          <w:sz w:val="22"/>
          <w:szCs w:val="22"/>
        </w:rPr>
        <w:t>Généralités</w:t>
      </w:r>
      <w:bookmarkEnd w:id="55"/>
      <w:bookmarkEnd w:id="56"/>
      <w:bookmarkEnd w:id="57"/>
      <w:bookmarkEnd w:id="58"/>
      <w:r w:rsidRPr="00D3137B">
        <w:rPr>
          <w:bCs w:val="0"/>
          <w:color w:val="683766"/>
          <w:sz w:val="22"/>
          <w:szCs w:val="22"/>
        </w:rPr>
        <w:t xml:space="preserve"> </w:t>
      </w:r>
    </w:p>
    <w:p w14:paraId="65215F23" w14:textId="77777777" w:rsidR="0015720B" w:rsidRPr="00D3137B" w:rsidRDefault="0015720B" w:rsidP="0015720B">
      <w:pPr>
        <w:spacing w:before="120" w:after="120"/>
        <w:jc w:val="both"/>
        <w:rPr>
          <w:bCs/>
          <w:sz w:val="20"/>
          <w:szCs w:val="20"/>
        </w:rPr>
      </w:pPr>
      <w:r w:rsidRPr="00D3137B">
        <w:rPr>
          <w:bCs/>
          <w:sz w:val="20"/>
          <w:szCs w:val="20"/>
        </w:rPr>
        <w:t xml:space="preserve">L’accord-cadre s’exécutant par la conclusion de marchés subséquents, il donne à l’acheteur la possibilité d’ajuster la réponse à ses besoins, au moment où il peut les identifier et décider de l’achat. </w:t>
      </w:r>
    </w:p>
    <w:p w14:paraId="4C4BA837" w14:textId="3715BCD7" w:rsidR="0015720B" w:rsidRPr="00D3137B" w:rsidRDefault="0015720B" w:rsidP="0015720B">
      <w:pPr>
        <w:spacing w:before="120" w:after="120"/>
        <w:jc w:val="both"/>
        <w:rPr>
          <w:bCs/>
          <w:sz w:val="20"/>
          <w:szCs w:val="20"/>
        </w:rPr>
      </w:pPr>
      <w:r w:rsidRPr="00D3137B">
        <w:rPr>
          <w:bCs/>
          <w:sz w:val="20"/>
          <w:szCs w:val="20"/>
        </w:rPr>
        <w:lastRenderedPageBreak/>
        <w:t xml:space="preserve">Ainsi, à la survenance du besoin, l’acheteur </w:t>
      </w:r>
      <w:r>
        <w:rPr>
          <w:bCs/>
          <w:sz w:val="20"/>
          <w:szCs w:val="20"/>
        </w:rPr>
        <w:t>demandera</w:t>
      </w:r>
      <w:r w:rsidR="00D3137B">
        <w:rPr>
          <w:bCs/>
          <w:sz w:val="20"/>
          <w:szCs w:val="20"/>
        </w:rPr>
        <w:t xml:space="preserve"> </w:t>
      </w:r>
      <w:r w:rsidR="00BB3531">
        <w:rPr>
          <w:bCs/>
          <w:sz w:val="20"/>
          <w:szCs w:val="20"/>
        </w:rPr>
        <w:t>au</w:t>
      </w:r>
      <w:r w:rsidR="00BB3531" w:rsidRPr="005D4966">
        <w:rPr>
          <w:bCs/>
          <w:sz w:val="20"/>
          <w:szCs w:val="20"/>
        </w:rPr>
        <w:t xml:space="preserve"> titulaire de l’accord-cadre</w:t>
      </w:r>
      <w:r>
        <w:rPr>
          <w:bCs/>
          <w:sz w:val="20"/>
          <w:szCs w:val="20"/>
        </w:rPr>
        <w:t xml:space="preserve"> la remise d’une nouvelle</w:t>
      </w:r>
      <w:r w:rsidR="00D3137B">
        <w:rPr>
          <w:bCs/>
          <w:sz w:val="20"/>
          <w:szCs w:val="20"/>
        </w:rPr>
        <w:t xml:space="preserve"> offre</w:t>
      </w:r>
      <w:r w:rsidRPr="00D3137B">
        <w:rPr>
          <w:bCs/>
          <w:sz w:val="20"/>
          <w:szCs w:val="20"/>
        </w:rPr>
        <w:t>, sur la base d’un besoin ajusté qu’il compte effectuer.</w:t>
      </w:r>
    </w:p>
    <w:p w14:paraId="0D813268" w14:textId="6887D309" w:rsidR="0015720B" w:rsidRPr="00D3137B" w:rsidRDefault="00BB3531" w:rsidP="0015720B">
      <w:pPr>
        <w:spacing w:before="120" w:after="120"/>
        <w:jc w:val="both"/>
        <w:rPr>
          <w:bCs/>
          <w:sz w:val="20"/>
          <w:szCs w:val="20"/>
        </w:rPr>
      </w:pPr>
      <w:r>
        <w:rPr>
          <w:bCs/>
          <w:sz w:val="20"/>
          <w:szCs w:val="20"/>
        </w:rPr>
        <w:t>Les</w:t>
      </w:r>
      <w:r w:rsidR="0015720B" w:rsidRPr="00D3137B">
        <w:rPr>
          <w:bCs/>
          <w:sz w:val="20"/>
          <w:szCs w:val="20"/>
        </w:rPr>
        <w:t xml:space="preserve"> marché</w:t>
      </w:r>
      <w:r>
        <w:rPr>
          <w:bCs/>
          <w:sz w:val="20"/>
          <w:szCs w:val="20"/>
        </w:rPr>
        <w:t>s</w:t>
      </w:r>
      <w:r w:rsidR="0015720B" w:rsidRPr="00D3137B">
        <w:rPr>
          <w:bCs/>
          <w:sz w:val="20"/>
          <w:szCs w:val="20"/>
        </w:rPr>
        <w:t xml:space="preserve"> subséquent</w:t>
      </w:r>
      <w:r>
        <w:rPr>
          <w:bCs/>
          <w:sz w:val="20"/>
          <w:szCs w:val="20"/>
        </w:rPr>
        <w:t>s</w:t>
      </w:r>
      <w:r w:rsidR="0015720B" w:rsidRPr="00D3137B">
        <w:rPr>
          <w:bCs/>
          <w:sz w:val="20"/>
          <w:szCs w:val="20"/>
        </w:rPr>
        <w:t xml:space="preserve"> précise</w:t>
      </w:r>
      <w:r>
        <w:rPr>
          <w:bCs/>
          <w:sz w:val="20"/>
          <w:szCs w:val="20"/>
        </w:rPr>
        <w:t>nt</w:t>
      </w:r>
      <w:r w:rsidR="0015720B" w:rsidRPr="00D3137B">
        <w:rPr>
          <w:bCs/>
          <w:sz w:val="20"/>
          <w:szCs w:val="20"/>
        </w:rPr>
        <w:t xml:space="preserve"> les caractéristiques et les modalités d’exécution des prestations demandées qui n’ont pas été fixées dans l’accord-cadre ou qui ont été ajustées. Ils ne peuvent cependant entraîner des modifications substantielles des termes de l’accord-cadre.</w:t>
      </w:r>
    </w:p>
    <w:p w14:paraId="30776CE4" w14:textId="77777777" w:rsidR="0015720B" w:rsidRPr="00D3137B" w:rsidRDefault="0015720B" w:rsidP="0015720B">
      <w:pPr>
        <w:spacing w:before="120" w:after="120"/>
        <w:jc w:val="both"/>
        <w:rPr>
          <w:bCs/>
          <w:sz w:val="20"/>
          <w:szCs w:val="20"/>
        </w:rPr>
      </w:pPr>
      <w:r w:rsidRPr="00D3137B">
        <w:rPr>
          <w:bCs/>
          <w:sz w:val="20"/>
          <w:szCs w:val="20"/>
        </w:rPr>
        <w:t>Chaque marché subséquent précisera notamment,</w:t>
      </w:r>
    </w:p>
    <w:p w14:paraId="709927A3" w14:textId="77777777" w:rsidR="0015720B" w:rsidRPr="00D3137B" w:rsidRDefault="0015720B" w:rsidP="00DB091B">
      <w:pPr>
        <w:numPr>
          <w:ilvl w:val="0"/>
          <w:numId w:val="28"/>
        </w:numPr>
        <w:spacing w:before="120" w:after="120"/>
        <w:ind w:left="714" w:hanging="357"/>
        <w:jc w:val="both"/>
        <w:rPr>
          <w:bCs/>
          <w:sz w:val="20"/>
          <w:szCs w:val="20"/>
        </w:rPr>
      </w:pPr>
      <w:r w:rsidRPr="00D3137B">
        <w:rPr>
          <w:bCs/>
          <w:sz w:val="20"/>
          <w:szCs w:val="20"/>
        </w:rPr>
        <w:t>Les besoins de l’acheteur ;</w:t>
      </w:r>
    </w:p>
    <w:p w14:paraId="3E929CFD" w14:textId="77777777" w:rsidR="0015720B" w:rsidRPr="00D3137B" w:rsidRDefault="0015720B" w:rsidP="00DB091B">
      <w:pPr>
        <w:numPr>
          <w:ilvl w:val="0"/>
          <w:numId w:val="28"/>
        </w:numPr>
        <w:spacing w:before="120" w:after="120"/>
        <w:ind w:left="714" w:hanging="357"/>
        <w:jc w:val="both"/>
        <w:rPr>
          <w:bCs/>
          <w:sz w:val="20"/>
          <w:szCs w:val="20"/>
        </w:rPr>
      </w:pPr>
      <w:r w:rsidRPr="00D3137B">
        <w:rPr>
          <w:bCs/>
          <w:sz w:val="20"/>
          <w:szCs w:val="20"/>
        </w:rPr>
        <w:t>Les modalités particulières d’exécution pour les prestations demandées ;</w:t>
      </w:r>
    </w:p>
    <w:p w14:paraId="47117337" w14:textId="23174E42" w:rsidR="0015720B" w:rsidRPr="00D3137B" w:rsidRDefault="0015720B" w:rsidP="00DB091B">
      <w:pPr>
        <w:numPr>
          <w:ilvl w:val="0"/>
          <w:numId w:val="28"/>
        </w:numPr>
        <w:spacing w:before="120" w:after="120"/>
        <w:ind w:left="714" w:hanging="357"/>
        <w:jc w:val="both"/>
        <w:rPr>
          <w:bCs/>
          <w:sz w:val="20"/>
          <w:szCs w:val="20"/>
        </w:rPr>
      </w:pPr>
      <w:r w:rsidRPr="00D3137B">
        <w:rPr>
          <w:bCs/>
          <w:sz w:val="20"/>
          <w:szCs w:val="20"/>
        </w:rPr>
        <w:t>Les modalités de la réponse attendue (délai de consultation, date de réception des offres, demandes de renseignement du titulaire…)</w:t>
      </w:r>
      <w:r w:rsidR="00D3137B">
        <w:rPr>
          <w:bCs/>
          <w:sz w:val="20"/>
          <w:szCs w:val="20"/>
        </w:rPr>
        <w:t>.</w:t>
      </w:r>
    </w:p>
    <w:p w14:paraId="037DEA10" w14:textId="341969BE" w:rsidR="0015720B" w:rsidRPr="00D3137B" w:rsidRDefault="0015720B" w:rsidP="0015720B">
      <w:pPr>
        <w:spacing w:before="120" w:after="120"/>
        <w:jc w:val="both"/>
        <w:rPr>
          <w:bCs/>
          <w:sz w:val="20"/>
          <w:szCs w:val="20"/>
        </w:rPr>
      </w:pPr>
      <w:r w:rsidRPr="00D3137B">
        <w:rPr>
          <w:bCs/>
          <w:sz w:val="20"/>
          <w:szCs w:val="20"/>
        </w:rPr>
        <w:t>Les marchés</w:t>
      </w:r>
      <w:r w:rsidR="00D3137B">
        <w:rPr>
          <w:bCs/>
          <w:sz w:val="20"/>
          <w:szCs w:val="20"/>
        </w:rPr>
        <w:t xml:space="preserve"> subséquents</w:t>
      </w:r>
      <w:r w:rsidRPr="00D3137B">
        <w:rPr>
          <w:bCs/>
          <w:sz w:val="20"/>
          <w:szCs w:val="20"/>
        </w:rPr>
        <w:t xml:space="preserve"> conclus sur la base de l’accord-cadre pourront être fractionnés à bons de commande.</w:t>
      </w:r>
    </w:p>
    <w:p w14:paraId="10891C91" w14:textId="39D04A3F" w:rsidR="0015720B" w:rsidRPr="00D3137B" w:rsidRDefault="0015720B" w:rsidP="0015720B">
      <w:pPr>
        <w:spacing w:before="120" w:after="120"/>
        <w:jc w:val="both"/>
        <w:rPr>
          <w:bCs/>
          <w:sz w:val="20"/>
          <w:szCs w:val="20"/>
        </w:rPr>
      </w:pPr>
      <w:r w:rsidRPr="00D3137B">
        <w:rPr>
          <w:bCs/>
          <w:sz w:val="20"/>
          <w:szCs w:val="20"/>
        </w:rPr>
        <w:t>Le présent accord-cadre comporte l'engagement pour le pouvoir adjudicateur de consulter exclusivement</w:t>
      </w:r>
      <w:r w:rsidR="00D3137B">
        <w:rPr>
          <w:bCs/>
          <w:sz w:val="20"/>
          <w:szCs w:val="20"/>
        </w:rPr>
        <w:t>,</w:t>
      </w:r>
      <w:r w:rsidRPr="00D3137B">
        <w:rPr>
          <w:bCs/>
          <w:sz w:val="20"/>
          <w:szCs w:val="20"/>
        </w:rPr>
        <w:t xml:space="preserve"> pour la réalisation des prestations couvertes par le présent accord-cadre le titulaire désigné, dans la limite cependant des exclusivités des prestataires en cours au CNM.</w:t>
      </w:r>
    </w:p>
    <w:p w14:paraId="7719955A" w14:textId="77777777" w:rsidR="0015720B" w:rsidRPr="00DB091B" w:rsidRDefault="0015720B"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59" w:name="_Toc204705979"/>
      <w:bookmarkStart w:id="60" w:name="_Toc183615404"/>
      <w:bookmarkStart w:id="61" w:name="_Toc188970969"/>
      <w:bookmarkStart w:id="62" w:name="_Toc204705980"/>
      <w:bookmarkStart w:id="63" w:name="_Toc222244173"/>
      <w:bookmarkEnd w:id="59"/>
      <w:r w:rsidRPr="00DB091B">
        <w:rPr>
          <w:bCs w:val="0"/>
          <w:color w:val="683766"/>
          <w:sz w:val="22"/>
          <w:szCs w:val="22"/>
        </w:rPr>
        <w:t>Documents de remise en concurrence du titulaire de l’accord-cadre</w:t>
      </w:r>
      <w:bookmarkEnd w:id="60"/>
      <w:bookmarkEnd w:id="61"/>
      <w:bookmarkEnd w:id="62"/>
      <w:bookmarkEnd w:id="63"/>
    </w:p>
    <w:p w14:paraId="743BE7A4" w14:textId="33D37855" w:rsidR="0015720B" w:rsidRPr="00D3137B" w:rsidRDefault="0015720B" w:rsidP="0015720B">
      <w:pPr>
        <w:spacing w:before="120" w:after="120"/>
        <w:jc w:val="both"/>
        <w:rPr>
          <w:bCs/>
          <w:sz w:val="20"/>
          <w:szCs w:val="20"/>
        </w:rPr>
      </w:pPr>
      <w:r w:rsidRPr="00D3137B">
        <w:rPr>
          <w:bCs/>
          <w:sz w:val="20"/>
          <w:szCs w:val="20"/>
        </w:rPr>
        <w:t xml:space="preserve">Le titulaire de l'accord-cadre sera invité à remettre une </w:t>
      </w:r>
      <w:r w:rsidR="00BB3531">
        <w:rPr>
          <w:bCs/>
          <w:sz w:val="20"/>
          <w:szCs w:val="20"/>
        </w:rPr>
        <w:t xml:space="preserve">nouvelle </w:t>
      </w:r>
      <w:r w:rsidRPr="00D3137B">
        <w:rPr>
          <w:bCs/>
          <w:sz w:val="20"/>
          <w:szCs w:val="20"/>
        </w:rPr>
        <w:t xml:space="preserve">offre sur la base des documents de </w:t>
      </w:r>
      <w:r w:rsidR="00BB3531">
        <w:rPr>
          <w:bCs/>
          <w:sz w:val="20"/>
          <w:szCs w:val="20"/>
        </w:rPr>
        <w:t>consultation</w:t>
      </w:r>
      <w:r w:rsidRPr="00D3137B">
        <w:rPr>
          <w:bCs/>
          <w:sz w:val="20"/>
          <w:szCs w:val="20"/>
        </w:rPr>
        <w:t xml:space="preserve"> qui lui ser</w:t>
      </w:r>
      <w:r w:rsidR="00BB3531">
        <w:rPr>
          <w:bCs/>
          <w:sz w:val="20"/>
          <w:szCs w:val="20"/>
        </w:rPr>
        <w:t>ont</w:t>
      </w:r>
      <w:r w:rsidRPr="00D3137B">
        <w:rPr>
          <w:bCs/>
          <w:sz w:val="20"/>
          <w:szCs w:val="20"/>
        </w:rPr>
        <w:t xml:space="preserve"> adressé</w:t>
      </w:r>
      <w:r w:rsidR="00BB3531">
        <w:rPr>
          <w:bCs/>
          <w:sz w:val="20"/>
          <w:szCs w:val="20"/>
        </w:rPr>
        <w:t>s</w:t>
      </w:r>
      <w:r w:rsidRPr="00D3137B">
        <w:rPr>
          <w:bCs/>
          <w:sz w:val="20"/>
          <w:szCs w:val="20"/>
        </w:rPr>
        <w:t xml:space="preserve"> et à déposer son offre par voie électronique</w:t>
      </w:r>
      <w:r w:rsidR="00BB3531">
        <w:rPr>
          <w:bCs/>
          <w:sz w:val="20"/>
          <w:szCs w:val="20"/>
        </w:rPr>
        <w:t>.</w:t>
      </w:r>
    </w:p>
    <w:p w14:paraId="39326920" w14:textId="77777777" w:rsidR="0015720B" w:rsidRPr="00D3137B" w:rsidRDefault="0015720B" w:rsidP="0015720B">
      <w:pPr>
        <w:spacing w:before="120" w:after="120"/>
        <w:jc w:val="both"/>
        <w:rPr>
          <w:bCs/>
          <w:sz w:val="20"/>
          <w:szCs w:val="20"/>
        </w:rPr>
      </w:pPr>
      <w:r w:rsidRPr="00D3137B">
        <w:rPr>
          <w:bCs/>
          <w:sz w:val="20"/>
          <w:szCs w:val="20"/>
        </w:rPr>
        <w:t>Ces documents de remise en concurrence comprendront au minimum :</w:t>
      </w:r>
    </w:p>
    <w:p w14:paraId="5DF7D5DA" w14:textId="4224D236" w:rsidR="0015720B" w:rsidRPr="00D3137B" w:rsidRDefault="0015720B" w:rsidP="00DB091B">
      <w:pPr>
        <w:pStyle w:val="Paragraphedeliste"/>
        <w:numPr>
          <w:ilvl w:val="0"/>
          <w:numId w:val="29"/>
        </w:numPr>
        <w:spacing w:before="120" w:after="120"/>
        <w:ind w:left="714" w:hanging="357"/>
        <w:contextualSpacing w:val="0"/>
        <w:jc w:val="both"/>
        <w:rPr>
          <w:bCs/>
          <w:sz w:val="20"/>
          <w:szCs w:val="20"/>
        </w:rPr>
      </w:pPr>
      <w:r w:rsidRPr="00D3137B">
        <w:rPr>
          <w:bCs/>
          <w:sz w:val="20"/>
          <w:szCs w:val="20"/>
        </w:rPr>
        <w:t xml:space="preserve">La pièce unique </w:t>
      </w:r>
      <w:r w:rsidR="00D3137B">
        <w:rPr>
          <w:bCs/>
          <w:sz w:val="20"/>
          <w:szCs w:val="20"/>
        </w:rPr>
        <w:t xml:space="preserve">marché subséquent, </w:t>
      </w:r>
      <w:r w:rsidRPr="00D3137B">
        <w:rPr>
          <w:bCs/>
          <w:sz w:val="20"/>
          <w:szCs w:val="20"/>
        </w:rPr>
        <w:t>valant acte d’engagement et cahier des clauses administratives particulières ;</w:t>
      </w:r>
    </w:p>
    <w:p w14:paraId="07D3F540" w14:textId="77777777" w:rsidR="0015720B" w:rsidRPr="00D3137B" w:rsidRDefault="0015720B" w:rsidP="00DB091B">
      <w:pPr>
        <w:pStyle w:val="Paragraphedeliste"/>
        <w:numPr>
          <w:ilvl w:val="0"/>
          <w:numId w:val="29"/>
        </w:numPr>
        <w:spacing w:before="120" w:after="120"/>
        <w:ind w:left="714" w:hanging="357"/>
        <w:contextualSpacing w:val="0"/>
        <w:jc w:val="both"/>
        <w:rPr>
          <w:bCs/>
          <w:sz w:val="20"/>
          <w:szCs w:val="20"/>
        </w:rPr>
      </w:pPr>
      <w:r w:rsidRPr="00D3137B">
        <w:rPr>
          <w:bCs/>
          <w:sz w:val="20"/>
          <w:szCs w:val="20"/>
        </w:rPr>
        <w:t>La lettre de consultation du marché subséquent ;</w:t>
      </w:r>
    </w:p>
    <w:p w14:paraId="2DA56EE5" w14:textId="77777777" w:rsidR="00BB3531" w:rsidRDefault="0015720B" w:rsidP="00DB091B">
      <w:pPr>
        <w:pStyle w:val="Paragraphedeliste"/>
        <w:numPr>
          <w:ilvl w:val="0"/>
          <w:numId w:val="29"/>
        </w:numPr>
        <w:spacing w:before="120" w:after="120"/>
        <w:ind w:left="714" w:hanging="357"/>
        <w:contextualSpacing w:val="0"/>
        <w:jc w:val="both"/>
        <w:rPr>
          <w:bCs/>
          <w:sz w:val="20"/>
          <w:szCs w:val="20"/>
        </w:rPr>
      </w:pPr>
      <w:r w:rsidRPr="00D3137B">
        <w:rPr>
          <w:bCs/>
          <w:sz w:val="20"/>
          <w:szCs w:val="20"/>
        </w:rPr>
        <w:t>Le descriptif technique des prestations </w:t>
      </w:r>
      <w:r w:rsidR="00BB3531">
        <w:rPr>
          <w:bCs/>
          <w:sz w:val="20"/>
          <w:szCs w:val="20"/>
        </w:rPr>
        <w:t>attendues ;</w:t>
      </w:r>
    </w:p>
    <w:p w14:paraId="2B95C6BF" w14:textId="5F03BE39" w:rsidR="0015720B" w:rsidRPr="00D3137B" w:rsidRDefault="0015720B" w:rsidP="00DB091B">
      <w:pPr>
        <w:pStyle w:val="Paragraphedeliste"/>
        <w:numPr>
          <w:ilvl w:val="0"/>
          <w:numId w:val="29"/>
        </w:numPr>
        <w:spacing w:before="120" w:after="120"/>
        <w:ind w:left="714" w:hanging="357"/>
        <w:contextualSpacing w:val="0"/>
        <w:jc w:val="both"/>
        <w:rPr>
          <w:bCs/>
          <w:sz w:val="20"/>
          <w:szCs w:val="20"/>
        </w:rPr>
      </w:pPr>
      <w:r w:rsidRPr="00D3137B">
        <w:rPr>
          <w:bCs/>
          <w:sz w:val="20"/>
          <w:szCs w:val="20"/>
        </w:rPr>
        <w:t>Une annexe financière du marché subséquent. </w:t>
      </w:r>
    </w:p>
    <w:p w14:paraId="2BF65AF0" w14:textId="77777777" w:rsidR="0015720B" w:rsidRPr="00D3137B" w:rsidRDefault="0015720B" w:rsidP="0015720B">
      <w:pPr>
        <w:spacing w:before="120" w:after="120"/>
        <w:jc w:val="both"/>
        <w:rPr>
          <w:bCs/>
          <w:sz w:val="20"/>
          <w:szCs w:val="20"/>
        </w:rPr>
      </w:pPr>
      <w:r w:rsidRPr="00D3137B">
        <w:rPr>
          <w:bCs/>
          <w:sz w:val="20"/>
          <w:szCs w:val="20"/>
        </w:rPr>
        <w:t xml:space="preserve">A noter que les prix figurant dans l’accord-cadre sont des prix plafonds pour les prestations demandées dans le cadre des marchés subséquents. Néanmoins, le titulaire est libre de proposer des prix inférieurs et des prix nouveaux pour les prestations qui ne sont pas définies dans le BPU de l’accord-cadre. </w:t>
      </w:r>
    </w:p>
    <w:p w14:paraId="4B9547F2" w14:textId="5BA26A0D" w:rsidR="0015720B" w:rsidRPr="0092377B" w:rsidRDefault="0015720B" w:rsidP="0015720B">
      <w:pPr>
        <w:spacing w:before="120" w:after="120"/>
        <w:jc w:val="both"/>
        <w:rPr>
          <w:rFonts w:ascii="Calibri" w:eastAsia="Calibri" w:hAnsi="Calibri" w:cs="Times New Roman"/>
          <w:b/>
        </w:rPr>
      </w:pPr>
      <w:r w:rsidRPr="00D3137B">
        <w:rPr>
          <w:bCs/>
          <w:sz w:val="20"/>
          <w:szCs w:val="20"/>
        </w:rPr>
        <w:t>Les documents de remise en concurrence indiqueront les date et heure limites de remise de</w:t>
      </w:r>
      <w:r w:rsidR="00BB3531">
        <w:rPr>
          <w:bCs/>
          <w:sz w:val="20"/>
          <w:szCs w:val="20"/>
        </w:rPr>
        <w:t xml:space="preserve"> l’</w:t>
      </w:r>
      <w:r w:rsidRPr="00D3137B">
        <w:rPr>
          <w:bCs/>
          <w:sz w:val="20"/>
          <w:szCs w:val="20"/>
        </w:rPr>
        <w:t>offre.</w:t>
      </w:r>
      <w:bookmarkStart w:id="64" w:name="_Toc183615406"/>
    </w:p>
    <w:p w14:paraId="38F5FF88" w14:textId="77777777" w:rsidR="0015720B" w:rsidRPr="00DB091B" w:rsidRDefault="0015720B" w:rsidP="00DB091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5" w:name="_Toc183615408"/>
      <w:bookmarkStart w:id="66" w:name="_Toc188970971"/>
      <w:bookmarkStart w:id="67" w:name="_Toc204705983"/>
      <w:bookmarkStart w:id="68" w:name="_Toc222244174"/>
      <w:bookmarkEnd w:id="64"/>
      <w:r w:rsidRPr="00DB091B">
        <w:rPr>
          <w:bCs w:val="0"/>
          <w:color w:val="683766"/>
          <w:sz w:val="22"/>
          <w:szCs w:val="22"/>
        </w:rPr>
        <w:t>Obligations du titulaire dans le cadre des marchés subséquents</w:t>
      </w:r>
      <w:bookmarkEnd w:id="65"/>
      <w:bookmarkEnd w:id="66"/>
      <w:bookmarkEnd w:id="67"/>
      <w:bookmarkEnd w:id="68"/>
    </w:p>
    <w:p w14:paraId="5058DE78" w14:textId="77777777" w:rsidR="0015720B" w:rsidRPr="00D3137B" w:rsidRDefault="0015720B" w:rsidP="0015720B">
      <w:pPr>
        <w:spacing w:before="120" w:after="120"/>
        <w:jc w:val="both"/>
        <w:rPr>
          <w:bCs/>
          <w:sz w:val="20"/>
          <w:szCs w:val="20"/>
        </w:rPr>
      </w:pPr>
      <w:r w:rsidRPr="00D3137B">
        <w:rPr>
          <w:bCs/>
          <w:sz w:val="20"/>
          <w:szCs w:val="20"/>
        </w:rPr>
        <w:t xml:space="preserve">Le titulaire de l'accord-cadre s'engage à remettre une offre, dans le délai fixé par le pouvoir adjudicateur, à chaque remise en concurrence dans le cadre d'un marché subséquent. Il appartient au titulaire de prendre toutes les mesures pour faire face à ses engagements. </w:t>
      </w:r>
    </w:p>
    <w:p w14:paraId="7C5B882B" w14:textId="77777777" w:rsidR="0015720B" w:rsidRDefault="0015720B" w:rsidP="0015720B">
      <w:pPr>
        <w:spacing w:before="120" w:after="120"/>
        <w:jc w:val="both"/>
        <w:rPr>
          <w:bCs/>
          <w:sz w:val="20"/>
          <w:szCs w:val="20"/>
        </w:rPr>
      </w:pPr>
      <w:r w:rsidRPr="00D3137B">
        <w:rPr>
          <w:bCs/>
          <w:sz w:val="20"/>
          <w:szCs w:val="20"/>
        </w:rPr>
        <w:t>En cas de non-réponse pour un marché subséquent, le titulaire doit motiver son absence d'offre. Le CNM jugera si la non-réponse est acceptable. A défaut, le titulaire s’expose aux sanctions citées ci-dessous.</w:t>
      </w:r>
    </w:p>
    <w:p w14:paraId="18E5478F" w14:textId="49B289D1" w:rsidR="00BB3531" w:rsidRPr="00D3137B" w:rsidRDefault="00BB3531" w:rsidP="0015720B">
      <w:pPr>
        <w:spacing w:before="120" w:after="120"/>
        <w:jc w:val="both"/>
        <w:rPr>
          <w:bCs/>
          <w:sz w:val="20"/>
          <w:szCs w:val="20"/>
        </w:rPr>
      </w:pPr>
      <w:r w:rsidRPr="005D4966">
        <w:rPr>
          <w:bCs/>
          <w:sz w:val="20"/>
          <w:szCs w:val="20"/>
        </w:rPr>
        <w:t xml:space="preserve">Le titulaire présente, pour les marchés subséquents, une offre de prix au moins aussi avantageuse que le cadre de prix de l’accord-cadre. </w:t>
      </w:r>
    </w:p>
    <w:p w14:paraId="5E83CD02" w14:textId="77777777" w:rsidR="0015720B" w:rsidRPr="00DB091B" w:rsidRDefault="0015720B" w:rsidP="00DB091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9" w:name="_Toc183615409"/>
      <w:bookmarkStart w:id="70" w:name="_Toc188970972"/>
      <w:bookmarkStart w:id="71" w:name="_Toc204705984"/>
      <w:bookmarkStart w:id="72" w:name="_Toc222244175"/>
      <w:r w:rsidRPr="00DB091B">
        <w:rPr>
          <w:bCs w:val="0"/>
          <w:color w:val="683766"/>
          <w:sz w:val="22"/>
          <w:szCs w:val="22"/>
        </w:rPr>
        <w:t>Sanctions du non-respect de l’engagement de réponses aux marchés subséquents</w:t>
      </w:r>
      <w:bookmarkEnd w:id="69"/>
      <w:bookmarkEnd w:id="70"/>
      <w:bookmarkEnd w:id="71"/>
      <w:bookmarkEnd w:id="72"/>
    </w:p>
    <w:p w14:paraId="015CBB71" w14:textId="43997319" w:rsidR="0015720B" w:rsidRPr="00D3137B" w:rsidRDefault="0015720B" w:rsidP="0015720B">
      <w:pPr>
        <w:spacing w:before="120" w:after="120"/>
        <w:jc w:val="both"/>
        <w:rPr>
          <w:bCs/>
          <w:sz w:val="20"/>
          <w:szCs w:val="20"/>
        </w:rPr>
      </w:pPr>
      <w:r w:rsidRPr="00D3137B">
        <w:rPr>
          <w:bCs/>
          <w:sz w:val="20"/>
          <w:szCs w:val="20"/>
        </w:rPr>
        <w:t xml:space="preserve">Le pouvoir adjudicateur se réserve la possibilité de mettre fin à l’accord-cadre pour faute dans les conditions définies </w:t>
      </w:r>
      <w:r w:rsidR="0098067F">
        <w:rPr>
          <w:bCs/>
          <w:sz w:val="20"/>
          <w:szCs w:val="20"/>
        </w:rPr>
        <w:t xml:space="preserve">dans le </w:t>
      </w:r>
      <w:r w:rsidRPr="00D3137B">
        <w:rPr>
          <w:bCs/>
          <w:sz w:val="20"/>
          <w:szCs w:val="20"/>
        </w:rPr>
        <w:t>présent document.</w:t>
      </w:r>
    </w:p>
    <w:p w14:paraId="5D8F9F3D" w14:textId="77777777" w:rsidR="0015720B" w:rsidRDefault="0015720B" w:rsidP="000F4489">
      <w:pPr>
        <w:spacing w:before="120" w:after="120"/>
        <w:jc w:val="both"/>
        <w:rPr>
          <w:bCs/>
          <w:sz w:val="20"/>
          <w:szCs w:val="20"/>
        </w:rPr>
      </w:pPr>
      <w:r w:rsidRPr="00D3137B">
        <w:rPr>
          <w:bCs/>
          <w:sz w:val="20"/>
          <w:szCs w:val="20"/>
        </w:rPr>
        <w:t>L’acheteur se réserve également la possibilité de mettre fin à l’accord-cadre pour faute, dans le cas où le titulaire remettrait de façon récurrente des offres inappropriées (sans rapport avec l’objet du marché).</w:t>
      </w:r>
    </w:p>
    <w:p w14:paraId="11045B19" w14:textId="77777777" w:rsidR="0098067F" w:rsidRDefault="0098067F" w:rsidP="000F4489">
      <w:pPr>
        <w:spacing w:before="120" w:after="120"/>
        <w:jc w:val="both"/>
        <w:rPr>
          <w:bCs/>
          <w:sz w:val="20"/>
          <w:szCs w:val="20"/>
        </w:rPr>
      </w:pPr>
    </w:p>
    <w:p w14:paraId="1855FC07" w14:textId="350CDD08" w:rsidR="0098067F" w:rsidRPr="0079750C" w:rsidRDefault="0098067F" w:rsidP="0079750C">
      <w:pPr>
        <w:pStyle w:val="Titre1"/>
        <w:shd w:val="clear" w:color="auto" w:fill="DC8C00"/>
        <w:contextualSpacing/>
        <w:rPr>
          <w:color w:val="FFFFFF" w:themeColor="background1"/>
        </w:rPr>
      </w:pPr>
      <w:bookmarkStart w:id="73" w:name="_Toc204705985"/>
      <w:bookmarkStart w:id="74" w:name="_Toc222244176"/>
      <w:r>
        <w:rPr>
          <w:color w:val="FFFFFF" w:themeColor="background1"/>
        </w:rPr>
        <w:t>Passation des bons de commande</w:t>
      </w:r>
      <w:bookmarkEnd w:id="73"/>
      <w:bookmarkEnd w:id="74"/>
    </w:p>
    <w:p w14:paraId="35B2566F" w14:textId="77777777" w:rsidR="0098067F" w:rsidRPr="00DB091B" w:rsidRDefault="0098067F" w:rsidP="00DB091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5" w:name="_Toc177137359"/>
      <w:bookmarkStart w:id="76" w:name="_Toc188970974"/>
      <w:bookmarkStart w:id="77" w:name="_Toc204705986"/>
      <w:bookmarkStart w:id="78" w:name="_Toc222244177"/>
      <w:r w:rsidRPr="00DB091B">
        <w:rPr>
          <w:bCs w:val="0"/>
          <w:color w:val="683766"/>
          <w:sz w:val="22"/>
          <w:szCs w:val="22"/>
        </w:rPr>
        <w:t>Généralités</w:t>
      </w:r>
      <w:bookmarkEnd w:id="75"/>
      <w:bookmarkEnd w:id="76"/>
      <w:bookmarkEnd w:id="77"/>
      <w:bookmarkEnd w:id="78"/>
    </w:p>
    <w:p w14:paraId="15AABB84" w14:textId="77777777" w:rsidR="0098067F" w:rsidRPr="00D3137B" w:rsidRDefault="0098067F" w:rsidP="0098067F">
      <w:pPr>
        <w:spacing w:before="120" w:after="120"/>
        <w:jc w:val="both"/>
        <w:rPr>
          <w:bCs/>
          <w:sz w:val="20"/>
          <w:szCs w:val="20"/>
        </w:rPr>
      </w:pPr>
      <w:r w:rsidRPr="00D3137B">
        <w:rPr>
          <w:bCs/>
          <w:sz w:val="20"/>
          <w:szCs w:val="20"/>
        </w:rPr>
        <w:t xml:space="preserve">Les bons de commande sont émis par l’acheteur au fur et à mesure des besoins, tout au long de l’accord-cadre. Ils sont transmis aux opérateurs par voie électronique. </w:t>
      </w:r>
    </w:p>
    <w:p w14:paraId="51E86C9A" w14:textId="77777777" w:rsidR="0098067F" w:rsidRPr="00D3137B" w:rsidRDefault="0098067F" w:rsidP="0098067F">
      <w:pPr>
        <w:spacing w:before="120" w:after="120"/>
        <w:jc w:val="both"/>
        <w:rPr>
          <w:bCs/>
          <w:sz w:val="20"/>
          <w:szCs w:val="20"/>
        </w:rPr>
      </w:pPr>
      <w:r w:rsidRPr="00D3137B">
        <w:rPr>
          <w:bCs/>
          <w:sz w:val="20"/>
          <w:szCs w:val="20"/>
        </w:rPr>
        <w:t xml:space="preserve">Le titulaire doit communiquer au CNM le ou les adresse(s) électronique(s) des destinataires des bons de commande. </w:t>
      </w:r>
    </w:p>
    <w:p w14:paraId="5C9B2BE2" w14:textId="77777777" w:rsidR="0098067F" w:rsidRPr="00D3137B" w:rsidRDefault="0098067F" w:rsidP="0098067F">
      <w:pPr>
        <w:spacing w:before="120" w:after="120"/>
        <w:jc w:val="both"/>
        <w:rPr>
          <w:bCs/>
          <w:sz w:val="20"/>
          <w:szCs w:val="20"/>
        </w:rPr>
      </w:pPr>
      <w:r w:rsidRPr="00D3137B">
        <w:rPr>
          <w:bCs/>
          <w:sz w:val="20"/>
          <w:szCs w:val="20"/>
        </w:rPr>
        <w:t>Il s’engage à exécuter les prestations dans le délai indiqué dans le bon de commande.</w:t>
      </w:r>
    </w:p>
    <w:p w14:paraId="432C55A1" w14:textId="7D581BFD" w:rsidR="0098067F" w:rsidRPr="00DB091B" w:rsidRDefault="0098067F" w:rsidP="00DB091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9" w:name="_Toc177137360"/>
      <w:bookmarkStart w:id="80" w:name="_Toc188970975"/>
      <w:bookmarkStart w:id="81" w:name="_Toc204705987"/>
      <w:bookmarkStart w:id="82" w:name="_Toc222244178"/>
      <w:r w:rsidRPr="00DB091B">
        <w:rPr>
          <w:bCs w:val="0"/>
          <w:color w:val="683766"/>
          <w:sz w:val="22"/>
          <w:szCs w:val="22"/>
        </w:rPr>
        <w:t>Contenu des bons de commande</w:t>
      </w:r>
      <w:bookmarkEnd w:id="79"/>
      <w:bookmarkEnd w:id="80"/>
      <w:bookmarkEnd w:id="81"/>
      <w:bookmarkEnd w:id="82"/>
      <w:r w:rsidRPr="00DB091B">
        <w:rPr>
          <w:bCs w:val="0"/>
          <w:color w:val="683766"/>
          <w:sz w:val="22"/>
          <w:szCs w:val="22"/>
        </w:rPr>
        <w:t xml:space="preserve"> </w:t>
      </w:r>
    </w:p>
    <w:p w14:paraId="16DDDA35"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émis par le CNM affiche les données suivantes :</w:t>
      </w:r>
    </w:p>
    <w:p w14:paraId="5808D920"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 xml:space="preserve">Le nom et l’adresse du titulaire, </w:t>
      </w:r>
    </w:p>
    <w:p w14:paraId="667E9177"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 xml:space="preserve">Le numéro de l’accord-cadre, </w:t>
      </w:r>
    </w:p>
    <w:p w14:paraId="209F7134"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 xml:space="preserve">Le numéro et la date du bon de commande,  </w:t>
      </w:r>
    </w:p>
    <w:p w14:paraId="1FC68BBE"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 xml:space="preserve">L’adresse de facturation, </w:t>
      </w:r>
    </w:p>
    <w:p w14:paraId="1EEBC62D"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La désignation des prestations,</w:t>
      </w:r>
    </w:p>
    <w:p w14:paraId="561E7121"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Le contenu et les quantités des prestations à réaliser,</w:t>
      </w:r>
    </w:p>
    <w:p w14:paraId="68E6F573"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Les délais ou période d’exécution,</w:t>
      </w:r>
    </w:p>
    <w:p w14:paraId="7F631D48"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 xml:space="preserve">Les prix de chaque prestation en € HT, </w:t>
      </w:r>
    </w:p>
    <w:p w14:paraId="18675190"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 xml:space="preserve">Le taux de la TVA, </w:t>
      </w:r>
    </w:p>
    <w:p w14:paraId="4EB0C546"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Le montant total TTC.</w:t>
      </w:r>
    </w:p>
    <w:p w14:paraId="6E8CDE9A"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S'il y a lieu :</w:t>
      </w:r>
    </w:p>
    <w:p w14:paraId="2D44A16C"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Les conditions particulières d'exécution,</w:t>
      </w:r>
    </w:p>
    <w:p w14:paraId="3CF1803B"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Les conditions particulières de réception,</w:t>
      </w:r>
    </w:p>
    <w:p w14:paraId="17D122AA"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Le lieu d'exécution,</w:t>
      </w:r>
    </w:p>
    <w:p w14:paraId="4D2B9552" w14:textId="77777777" w:rsidR="0098067F" w:rsidRPr="00D3137B" w:rsidRDefault="0098067F" w:rsidP="00DB091B">
      <w:pPr>
        <w:numPr>
          <w:ilvl w:val="0"/>
          <w:numId w:val="30"/>
        </w:numPr>
        <w:spacing w:before="120" w:after="120"/>
        <w:jc w:val="both"/>
        <w:rPr>
          <w:rFonts w:eastAsia="Calibri" w:cstheme="minorHAnsi"/>
          <w:sz w:val="20"/>
          <w:szCs w:val="20"/>
        </w:rPr>
      </w:pPr>
      <w:r w:rsidRPr="00D3137B">
        <w:rPr>
          <w:rFonts w:eastAsia="Calibri" w:cstheme="minorHAnsi"/>
          <w:sz w:val="20"/>
          <w:szCs w:val="20"/>
        </w:rPr>
        <w:t>Les documents à fournir à la réception.</w:t>
      </w:r>
    </w:p>
    <w:p w14:paraId="1C0C4228"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En aucun cas le titulaire ne doit exécuter la prestation telle que définie au présent accord-cadre sans l’obtention d’un bon de commande dûment rempli et signé par la personne habilitée. </w:t>
      </w:r>
    </w:p>
    <w:p w14:paraId="1D52CA6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Toute prestation pour laquelle un bon de commande a été émis pendant la durée du présent marché public doit être exécutée conformément aux dispositions du présent accord-cadre.</w:t>
      </w:r>
    </w:p>
    <w:p w14:paraId="0C2CA5E5" w14:textId="63548478"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sera notifié au prestataire dans les conditions définies à l'article 3.7 du CCAG</w:t>
      </w:r>
      <w:r>
        <w:rPr>
          <w:rFonts w:eastAsia="Calibri" w:cstheme="minorHAnsi"/>
          <w:sz w:val="20"/>
          <w:szCs w:val="20"/>
        </w:rPr>
        <w:t>-TIC</w:t>
      </w:r>
      <w:r w:rsidRPr="00D3137B">
        <w:rPr>
          <w:rFonts w:eastAsia="Calibri" w:cstheme="minorHAnsi"/>
          <w:sz w:val="20"/>
          <w:szCs w:val="20"/>
        </w:rPr>
        <w:t xml:space="preserve">. </w:t>
      </w:r>
    </w:p>
    <w:p w14:paraId="17D959F7" w14:textId="6D393219" w:rsidR="0098067F" w:rsidRPr="00DB091B" w:rsidRDefault="0098067F" w:rsidP="00DB091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83" w:name="_Toc177137361"/>
      <w:bookmarkStart w:id="84" w:name="_Toc188970976"/>
      <w:bookmarkStart w:id="85" w:name="_Toc204705988"/>
      <w:bookmarkStart w:id="86" w:name="_Toc222244179"/>
      <w:r w:rsidRPr="00DB091B">
        <w:rPr>
          <w:bCs w:val="0"/>
          <w:color w:val="683766"/>
          <w:sz w:val="22"/>
          <w:szCs w:val="22"/>
        </w:rPr>
        <w:t>Validité des bons de commande</w:t>
      </w:r>
      <w:bookmarkEnd w:id="83"/>
      <w:bookmarkEnd w:id="84"/>
      <w:bookmarkEnd w:id="85"/>
      <w:bookmarkEnd w:id="86"/>
      <w:r w:rsidRPr="00DB091B">
        <w:rPr>
          <w:bCs w:val="0"/>
          <w:color w:val="683766"/>
          <w:sz w:val="22"/>
          <w:szCs w:val="22"/>
        </w:rPr>
        <w:t xml:space="preserve"> </w:t>
      </w:r>
    </w:p>
    <w:p w14:paraId="085D1A26"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Les émissions de bons de commande peuvent intervenir dès le premier jour d’exécution de l’accord-cadre.</w:t>
      </w:r>
    </w:p>
    <w:p w14:paraId="76C0C6D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Le titulaire est tenu d’exécuter les bons de commande dont les délais d’exécution vont au-delà de la date d’échéance de l’accord-cadre, dès lors que ceux-ci lui ont été notifiés avant l’expiration de cette dernière, et ce dans la limite de six mois à compter de la date d’échéance de l’accord-cadre. </w:t>
      </w:r>
    </w:p>
    <w:p w14:paraId="4E981D42" w14:textId="5F2801CE" w:rsidR="0015720B" w:rsidRPr="00D3137B" w:rsidRDefault="0098067F" w:rsidP="0077425E">
      <w:pPr>
        <w:pStyle w:val="05ARTICLENiv1-Texte"/>
        <w:shd w:val="clear" w:color="auto" w:fill="FFFFFF" w:themeFill="background1"/>
        <w:rPr>
          <w:rFonts w:asciiTheme="minorHAnsi" w:eastAsia="Calibri" w:hAnsiTheme="minorHAnsi" w:cstheme="minorHAnsi"/>
          <w:color w:val="auto"/>
          <w:spacing w:val="0"/>
          <w:lang w:eastAsia="en-US"/>
        </w:rPr>
      </w:pPr>
      <w:r w:rsidRPr="00D3137B">
        <w:rPr>
          <w:rFonts w:asciiTheme="minorHAnsi" w:eastAsia="Calibri" w:hAnsiTheme="minorHAnsi" w:cstheme="minorHAnsi"/>
          <w:color w:val="auto"/>
          <w:spacing w:val="0"/>
          <w:lang w:eastAsia="en-US"/>
        </w:rPr>
        <w:t xml:space="preserve">Après émission du bon de commande, le CNM dispose de la faculté de suspendre ou d’annuler l’exécution du bon de commande émis. Dans ces conditions, le CNM à l’origine de la suspension ou de l’annulation de sa </w:t>
      </w:r>
      <w:r w:rsidRPr="00D3137B">
        <w:rPr>
          <w:rFonts w:asciiTheme="minorHAnsi" w:eastAsia="Calibri" w:hAnsiTheme="minorHAnsi" w:cstheme="minorHAnsi"/>
          <w:color w:val="auto"/>
          <w:spacing w:val="0"/>
          <w:lang w:eastAsia="en-US"/>
        </w:rPr>
        <w:lastRenderedPageBreak/>
        <w:t>commande prend à sa charge les frais de prestations que le titulaire aurait pu engager du fait du commencement d’exécution du bon de commande, sur présentation par le titulaire des justificatifs attestant de l’existence de frais établis en ce sens</w:t>
      </w:r>
    </w:p>
    <w:p w14:paraId="287771BC" w14:textId="0091E6B9" w:rsidR="001B04CD" w:rsidRPr="002336AB" w:rsidRDefault="001B04CD" w:rsidP="002336AB">
      <w:pPr>
        <w:pStyle w:val="Titre1"/>
        <w:shd w:val="clear" w:color="auto" w:fill="DC8C00"/>
        <w:contextualSpacing/>
        <w:rPr>
          <w:color w:val="FFFFFF" w:themeColor="background1"/>
        </w:rPr>
      </w:pPr>
      <w:bookmarkStart w:id="87" w:name="_Toc222244180"/>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50"/>
      <w:bookmarkEnd w:id="51"/>
      <w:r w:rsidR="00F413EE">
        <w:rPr>
          <w:color w:val="FFFFFF" w:themeColor="background1"/>
        </w:rPr>
        <w:t>e l’accord-cadre</w:t>
      </w:r>
      <w:r w:rsidR="00060F80">
        <w:rPr>
          <w:color w:val="FFFFFF" w:themeColor="background1"/>
        </w:rPr>
        <w:t xml:space="preserve"> et des marches </w:t>
      </w:r>
      <w:r w:rsidR="00D3137B">
        <w:rPr>
          <w:color w:val="FFFFFF" w:themeColor="background1"/>
        </w:rPr>
        <w:t>subséquents</w:t>
      </w:r>
      <w:bookmarkEnd w:id="87"/>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226F27D3" w14:textId="199E10DC" w:rsidR="00E24535" w:rsidRDefault="00E24535" w:rsidP="002550BB">
      <w:pPr>
        <w:pStyle w:val="NormalWeb"/>
        <w:spacing w:before="120" w:beforeAutospacing="0" w:after="120" w:afterAutospacing="0"/>
        <w:jc w:val="both"/>
        <w:rPr>
          <w:rFonts w:ascii="Calibri" w:hAnsi="Calibri"/>
          <w:bCs/>
          <w:sz w:val="20"/>
          <w:szCs w:val="20"/>
          <w:u w:val="single"/>
        </w:rPr>
      </w:pPr>
      <w:r w:rsidRPr="00D3137B">
        <w:rPr>
          <w:rFonts w:ascii="Calibri" w:hAnsi="Calibri"/>
          <w:bCs/>
          <w:sz w:val="20"/>
          <w:szCs w:val="20"/>
          <w:u w:val="single"/>
        </w:rPr>
        <w:t xml:space="preserve">Pièces </w:t>
      </w:r>
      <w:r w:rsidR="0039575A">
        <w:rPr>
          <w:rFonts w:ascii="Calibri" w:hAnsi="Calibri"/>
          <w:bCs/>
          <w:sz w:val="20"/>
          <w:szCs w:val="20"/>
          <w:u w:val="single"/>
        </w:rPr>
        <w:t xml:space="preserve">particulières </w:t>
      </w:r>
      <w:r w:rsidRPr="00D3137B">
        <w:rPr>
          <w:rFonts w:ascii="Calibri" w:hAnsi="Calibri"/>
          <w:bCs/>
          <w:sz w:val="20"/>
          <w:szCs w:val="20"/>
          <w:u w:val="single"/>
        </w:rPr>
        <w:t>de l’accord-cadre</w:t>
      </w:r>
      <w:r w:rsidR="002024F0">
        <w:rPr>
          <w:rFonts w:ascii="Calibri" w:hAnsi="Calibri"/>
          <w:bCs/>
          <w:sz w:val="20"/>
          <w:szCs w:val="20"/>
          <w:u w:val="single"/>
        </w:rPr>
        <w:t> :</w:t>
      </w:r>
    </w:p>
    <w:p w14:paraId="02DB83EF" w14:textId="76745C5F" w:rsidR="00A577D9" w:rsidRPr="00A577D9" w:rsidRDefault="00A577D9" w:rsidP="002550BB">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5B2962A7" w14:textId="77777777" w:rsidR="002550BB" w:rsidRPr="00F13EFD" w:rsidRDefault="00022130" w:rsidP="00DB091B">
      <w:pPr>
        <w:pStyle w:val="NormalWeb"/>
        <w:numPr>
          <w:ilvl w:val="0"/>
          <w:numId w:val="13"/>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w:t>
      </w:r>
      <w:r w:rsidR="002550BB" w:rsidRPr="00F13EFD">
        <w:rPr>
          <w:rFonts w:asciiTheme="minorHAnsi" w:hAnsiTheme="minorHAnsi"/>
          <w:sz w:val="20"/>
          <w:szCs w:val="20"/>
        </w:rPr>
        <w:t>Acte d’Engagement (AE) et</w:t>
      </w:r>
      <w:r w:rsidRPr="00F13EFD">
        <w:rPr>
          <w:rFonts w:asciiTheme="minorHAnsi" w:hAnsiTheme="minorHAnsi"/>
          <w:sz w:val="20"/>
          <w:szCs w:val="20"/>
        </w:rPr>
        <w:t xml:space="preserve"> </w:t>
      </w:r>
      <w:r w:rsidR="002550BB" w:rsidRPr="00F13EFD">
        <w:rPr>
          <w:rFonts w:asciiTheme="minorHAnsi" w:hAnsiTheme="minorHAnsi"/>
          <w:sz w:val="20"/>
          <w:szCs w:val="20"/>
        </w:rPr>
        <w:t>Cahier des Clauses Administratives Particulières (CCAP</w:t>
      </w:r>
      <w:r w:rsidR="001B04CD" w:rsidRPr="00F13EFD">
        <w:rPr>
          <w:rFonts w:asciiTheme="minorHAnsi" w:hAnsiTheme="minorHAnsi"/>
          <w:sz w:val="20"/>
          <w:szCs w:val="20"/>
        </w:rPr>
        <w:t xml:space="preserve">) et ses </w:t>
      </w:r>
      <w:r w:rsidR="00A852A7" w:rsidRPr="00F13EFD">
        <w:rPr>
          <w:rFonts w:asciiTheme="minorHAnsi" w:hAnsiTheme="minorHAnsi"/>
          <w:sz w:val="20"/>
          <w:szCs w:val="20"/>
        </w:rPr>
        <w:t xml:space="preserve">éventuelles </w:t>
      </w:r>
      <w:r w:rsidR="001B04CD" w:rsidRPr="00F13EFD">
        <w:rPr>
          <w:rFonts w:asciiTheme="minorHAnsi" w:hAnsiTheme="minorHAnsi"/>
          <w:sz w:val="20"/>
          <w:szCs w:val="20"/>
        </w:rPr>
        <w:t>annexes</w:t>
      </w:r>
      <w:r w:rsidR="002550BB" w:rsidRPr="00F13EFD">
        <w:rPr>
          <w:rFonts w:asciiTheme="minorHAnsi" w:hAnsiTheme="minorHAnsi"/>
          <w:sz w:val="20"/>
          <w:szCs w:val="20"/>
        </w:rPr>
        <w:t xml:space="preserve">, dans la version résultant des dernières modifications éventuelles (mise au point, avenant etc.) ; </w:t>
      </w:r>
      <w:r w:rsidR="00097A50" w:rsidRPr="00F13EFD">
        <w:rPr>
          <w:rFonts w:asciiTheme="minorHAnsi" w:hAnsiTheme="minorHAnsi"/>
          <w:sz w:val="20"/>
          <w:szCs w:val="20"/>
        </w:rPr>
        <w:t xml:space="preserve"> </w:t>
      </w:r>
    </w:p>
    <w:p w14:paraId="2D496696" w14:textId="4331DC11" w:rsidR="002550BB" w:rsidRPr="00F13EFD" w:rsidRDefault="002550BB" w:rsidP="00DB091B">
      <w:pPr>
        <w:pStyle w:val="NormalWeb"/>
        <w:numPr>
          <w:ilvl w:val="0"/>
          <w:numId w:val="13"/>
        </w:numPr>
        <w:spacing w:before="120" w:beforeAutospacing="0" w:after="120" w:afterAutospacing="0"/>
        <w:jc w:val="both"/>
        <w:rPr>
          <w:rFonts w:asciiTheme="minorHAnsi" w:hAnsiTheme="minorHAnsi"/>
          <w:sz w:val="20"/>
          <w:szCs w:val="20"/>
        </w:rPr>
      </w:pPr>
      <w:bookmarkStart w:id="88" w:name="_Hlk155625793"/>
      <w:r w:rsidRPr="00F13EFD">
        <w:rPr>
          <w:rFonts w:asciiTheme="minorHAnsi" w:hAnsiTheme="minorHAnsi"/>
          <w:sz w:val="20"/>
          <w:szCs w:val="20"/>
        </w:rPr>
        <w:t xml:space="preserve">Le </w:t>
      </w:r>
      <w:r w:rsidRPr="00F13EFD">
        <w:rPr>
          <w:rFonts w:asciiTheme="minorHAnsi" w:hAnsiTheme="minorHAnsi"/>
          <w:b/>
          <w:bCs/>
          <w:sz w:val="20"/>
          <w:szCs w:val="20"/>
        </w:rPr>
        <w:t>cahier des Clauses Techniques Particulières</w:t>
      </w:r>
      <w:r w:rsidRPr="00F13EFD">
        <w:rPr>
          <w:rFonts w:asciiTheme="minorHAnsi" w:hAnsiTheme="minorHAnsi"/>
          <w:sz w:val="20"/>
          <w:szCs w:val="20"/>
        </w:rPr>
        <w:t xml:space="preserve"> de l’accord-cadre (CCTP</w:t>
      </w:r>
      <w:r w:rsidR="00D3137B">
        <w:rPr>
          <w:rFonts w:asciiTheme="minorHAnsi" w:hAnsiTheme="minorHAnsi"/>
          <w:sz w:val="20"/>
          <w:szCs w:val="20"/>
        </w:rPr>
        <w:t>-AC</w:t>
      </w:r>
      <w:r w:rsidRPr="00F13EFD">
        <w:rPr>
          <w:rFonts w:asciiTheme="minorHAnsi" w:hAnsiTheme="minorHAnsi"/>
          <w:sz w:val="20"/>
          <w:szCs w:val="20"/>
        </w:rPr>
        <w:t>)</w:t>
      </w:r>
      <w:r w:rsidR="00A96A79">
        <w:rPr>
          <w:rFonts w:asciiTheme="minorHAnsi" w:hAnsiTheme="minorHAnsi"/>
          <w:sz w:val="20"/>
          <w:szCs w:val="20"/>
        </w:rPr>
        <w:t xml:space="preserve"> </w:t>
      </w:r>
      <w:r w:rsidRPr="00F13EFD">
        <w:rPr>
          <w:rFonts w:asciiTheme="minorHAnsi" w:hAnsiTheme="minorHAnsi"/>
          <w:sz w:val="20"/>
          <w:szCs w:val="20"/>
        </w:rPr>
        <w:t xml:space="preserve">et l’ensemble des pièces techniques fournies dans le dossier de consultation ; </w:t>
      </w:r>
    </w:p>
    <w:p w14:paraId="279E7B4E" w14:textId="77777777" w:rsidR="002550BB" w:rsidRPr="00F13EFD" w:rsidRDefault="002550BB" w:rsidP="00DB091B">
      <w:pPr>
        <w:pStyle w:val="NormalWeb"/>
        <w:numPr>
          <w:ilvl w:val="0"/>
          <w:numId w:val="13"/>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577D9">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88"/>
    </w:p>
    <w:p w14:paraId="26A896CF" w14:textId="39374F5C" w:rsidR="002550BB" w:rsidRDefault="002550BB" w:rsidP="00DB091B">
      <w:pPr>
        <w:pStyle w:val="NormalWeb"/>
        <w:numPr>
          <w:ilvl w:val="0"/>
          <w:numId w:val="13"/>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sidR="00A42B1A">
        <w:rPr>
          <w:rFonts w:asciiTheme="minorHAnsi" w:hAnsiTheme="minorHAnsi"/>
          <w:b/>
          <w:bCs/>
          <w:sz w:val="20"/>
          <w:szCs w:val="20"/>
        </w:rPr>
        <w:t>B</w:t>
      </w:r>
      <w:r w:rsidR="00097A50" w:rsidRPr="00F13EFD">
        <w:rPr>
          <w:rFonts w:asciiTheme="minorHAnsi" w:hAnsiTheme="minorHAnsi"/>
          <w:b/>
          <w:bCs/>
          <w:sz w:val="20"/>
          <w:szCs w:val="20"/>
        </w:rPr>
        <w:t>ordereau des Prix Unitaires</w:t>
      </w:r>
      <w:r w:rsidR="00097A50" w:rsidRPr="00F13EFD">
        <w:rPr>
          <w:rFonts w:asciiTheme="minorHAnsi" w:hAnsiTheme="minorHAnsi"/>
          <w:sz w:val="20"/>
          <w:szCs w:val="20"/>
        </w:rPr>
        <w:t xml:space="preserve"> (BPU</w:t>
      </w:r>
      <w:r w:rsidR="00D3137B">
        <w:rPr>
          <w:rFonts w:asciiTheme="minorHAnsi" w:hAnsiTheme="minorHAnsi"/>
          <w:sz w:val="20"/>
          <w:szCs w:val="20"/>
        </w:rPr>
        <w:t>-AC</w:t>
      </w:r>
      <w:r w:rsidR="005A18CB" w:rsidRPr="00F13EFD">
        <w:rPr>
          <w:rFonts w:asciiTheme="minorHAnsi" w:hAnsiTheme="minorHAnsi"/>
          <w:sz w:val="20"/>
          <w:szCs w:val="20"/>
        </w:rPr>
        <w:t>)</w:t>
      </w:r>
      <w:r w:rsidRPr="00F13EFD">
        <w:rPr>
          <w:rFonts w:asciiTheme="minorHAnsi" w:hAnsiTheme="minorHAnsi"/>
          <w:sz w:val="20"/>
          <w:szCs w:val="20"/>
        </w:rPr>
        <w:t xml:space="preserve"> dans la version résultant des dernières modifications éventuelles opérées par avenant ; </w:t>
      </w:r>
    </w:p>
    <w:p w14:paraId="0AB1B094" w14:textId="77777777" w:rsidR="00A577D9" w:rsidRPr="00D25922" w:rsidRDefault="00A577D9" w:rsidP="00DB091B">
      <w:pPr>
        <w:pStyle w:val="NormalWeb"/>
        <w:numPr>
          <w:ilvl w:val="0"/>
          <w:numId w:val="13"/>
        </w:numPr>
        <w:spacing w:before="120" w:beforeAutospacing="0" w:after="120" w:afterAutospacing="0"/>
        <w:jc w:val="both"/>
        <w:rPr>
          <w:rFonts w:asciiTheme="minorHAnsi" w:hAnsiTheme="minorHAnsi"/>
          <w:sz w:val="20"/>
          <w:szCs w:val="20"/>
        </w:rPr>
      </w:pPr>
      <w:r>
        <w:rPr>
          <w:rFonts w:asciiTheme="minorHAnsi" w:hAnsiTheme="minorHAnsi"/>
          <w:b/>
          <w:bCs/>
          <w:sz w:val="20"/>
          <w:szCs w:val="20"/>
        </w:rPr>
        <w:t xml:space="preserve">Le cadre de réponse technique </w:t>
      </w:r>
      <w:r>
        <w:rPr>
          <w:rFonts w:asciiTheme="minorHAnsi" w:hAnsiTheme="minorHAnsi"/>
          <w:sz w:val="20"/>
          <w:szCs w:val="20"/>
        </w:rPr>
        <w:t>(CRT)</w:t>
      </w:r>
      <w:r w:rsidRPr="00D25922">
        <w:rPr>
          <w:rFonts w:asciiTheme="minorHAnsi" w:hAnsiTheme="minorHAnsi"/>
          <w:sz w:val="20"/>
          <w:szCs w:val="20"/>
        </w:rPr>
        <w:t xml:space="preserve"> du titulaire</w:t>
      </w:r>
      <w:r>
        <w:rPr>
          <w:rFonts w:asciiTheme="minorHAnsi" w:hAnsiTheme="minorHAnsi"/>
          <w:sz w:val="20"/>
          <w:szCs w:val="20"/>
        </w:rPr>
        <w:t xml:space="preserve"> </w:t>
      </w:r>
      <w:r w:rsidRPr="00D25922">
        <w:rPr>
          <w:rFonts w:asciiTheme="minorHAnsi" w:hAnsiTheme="minorHAnsi"/>
          <w:sz w:val="20"/>
          <w:szCs w:val="20"/>
        </w:rPr>
        <w:t xml:space="preserve">; </w:t>
      </w:r>
    </w:p>
    <w:p w14:paraId="336AE717" w14:textId="739769DB" w:rsidR="00E24535" w:rsidRPr="00A577D9" w:rsidRDefault="003D6351" w:rsidP="00DB091B">
      <w:pPr>
        <w:pStyle w:val="NormalWeb"/>
        <w:numPr>
          <w:ilvl w:val="0"/>
          <w:numId w:val="13"/>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w:t>
      </w:r>
      <w:r w:rsidR="00AF23B2">
        <w:rPr>
          <w:rFonts w:asciiTheme="minorHAnsi" w:hAnsiTheme="minorHAnsi"/>
          <w:b/>
          <w:bCs/>
          <w:sz w:val="20"/>
          <w:szCs w:val="20"/>
        </w:rPr>
        <w:t>.</w:t>
      </w:r>
    </w:p>
    <w:p w14:paraId="119A34FB" w14:textId="00AAE98E" w:rsidR="00A577D9" w:rsidRPr="00A577D9" w:rsidRDefault="00A577D9" w:rsidP="00DB091B">
      <w:pPr>
        <w:pStyle w:val="NormalWeb"/>
        <w:numPr>
          <w:ilvl w:val="0"/>
          <w:numId w:val="13"/>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0C2C0702" w14:textId="7A1001A1" w:rsidR="00A577D9" w:rsidRDefault="00A577D9" w:rsidP="00A577D9">
      <w:pPr>
        <w:pStyle w:val="NormalWeb"/>
        <w:spacing w:before="120" w:beforeAutospacing="0" w:after="120" w:afterAutospacing="0"/>
        <w:jc w:val="both"/>
        <w:rPr>
          <w:rFonts w:asciiTheme="minorHAnsi" w:hAnsiTheme="minorHAnsi"/>
          <w:i/>
          <w:iCs/>
          <w:sz w:val="20"/>
          <w:szCs w:val="20"/>
        </w:rPr>
      </w:pPr>
      <w:r w:rsidRPr="00A577D9">
        <w:rPr>
          <w:rFonts w:asciiTheme="minorHAnsi" w:hAnsiTheme="minorHAnsi"/>
          <w:i/>
          <w:iCs/>
          <w:sz w:val="20"/>
          <w:szCs w:val="20"/>
        </w:rPr>
        <w:t xml:space="preserve">Pièce générale : </w:t>
      </w:r>
    </w:p>
    <w:p w14:paraId="483F59E0" w14:textId="77777777" w:rsidR="00A577D9" w:rsidRPr="009C506D" w:rsidRDefault="00A577D9" w:rsidP="00DB091B">
      <w:pPr>
        <w:pStyle w:val="NormalWeb"/>
        <w:numPr>
          <w:ilvl w:val="0"/>
          <w:numId w:val="13"/>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48D6B3B2" w14:textId="6FB8845C" w:rsidR="00A577D9" w:rsidRDefault="00E24535" w:rsidP="00E24535">
      <w:pPr>
        <w:pStyle w:val="NormalWeb"/>
        <w:spacing w:before="120" w:beforeAutospacing="0" w:after="120" w:afterAutospacing="0"/>
        <w:jc w:val="both"/>
        <w:rPr>
          <w:rFonts w:asciiTheme="minorHAnsi" w:hAnsiTheme="minorHAnsi"/>
          <w:sz w:val="20"/>
          <w:szCs w:val="20"/>
          <w:u w:val="single"/>
        </w:rPr>
      </w:pPr>
      <w:r w:rsidRPr="00D3137B">
        <w:rPr>
          <w:rFonts w:asciiTheme="minorHAnsi" w:hAnsiTheme="minorHAnsi"/>
          <w:sz w:val="20"/>
          <w:szCs w:val="20"/>
          <w:u w:val="single"/>
        </w:rPr>
        <w:t>Pièces des marchés subséquents</w:t>
      </w:r>
      <w:r w:rsidR="002024F0">
        <w:rPr>
          <w:rFonts w:asciiTheme="minorHAnsi" w:hAnsiTheme="minorHAnsi"/>
          <w:sz w:val="20"/>
          <w:szCs w:val="20"/>
          <w:u w:val="single"/>
        </w:rPr>
        <w:t> :</w:t>
      </w:r>
    </w:p>
    <w:p w14:paraId="4E498E62" w14:textId="77777777" w:rsidR="00A577D9" w:rsidRPr="00A577D9" w:rsidRDefault="00A577D9" w:rsidP="00A577D9">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644D24A9" w14:textId="28196B7C" w:rsidR="00E24535" w:rsidRPr="00E24535" w:rsidRDefault="00E24535" w:rsidP="00D3137B">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r>
      <w:r w:rsidRPr="00E24535">
        <w:rPr>
          <w:rFonts w:asciiTheme="minorHAnsi" w:hAnsiTheme="minorHAnsi"/>
          <w:b/>
          <w:bCs/>
          <w:sz w:val="20"/>
          <w:szCs w:val="20"/>
        </w:rPr>
        <w:t>Le document unique</w:t>
      </w:r>
      <w:r w:rsidRPr="00E24535">
        <w:rPr>
          <w:rFonts w:asciiTheme="minorHAnsi" w:hAnsiTheme="minorHAnsi"/>
          <w:sz w:val="20"/>
          <w:szCs w:val="20"/>
        </w:rPr>
        <w:t xml:space="preserve"> valant acte d’engagement et cahier des clauses administratives particulières du marché subséquent, le cas échéant</w:t>
      </w:r>
      <w:r>
        <w:rPr>
          <w:rFonts w:asciiTheme="minorHAnsi" w:hAnsiTheme="minorHAnsi"/>
          <w:sz w:val="20"/>
          <w:szCs w:val="20"/>
        </w:rPr>
        <w:t xml:space="preserve"> </w:t>
      </w:r>
      <w:r w:rsidRPr="00E24535">
        <w:rPr>
          <w:rFonts w:asciiTheme="minorHAnsi" w:hAnsiTheme="minorHAnsi"/>
          <w:sz w:val="20"/>
          <w:szCs w:val="20"/>
        </w:rPr>
        <w:t xml:space="preserve">; </w:t>
      </w:r>
    </w:p>
    <w:p w14:paraId="5A6C7F19" w14:textId="711E772C" w:rsidR="00E24535" w:rsidRDefault="00E24535" w:rsidP="00B27734">
      <w:pPr>
        <w:pStyle w:val="NormalWeb"/>
        <w:spacing w:before="120" w:beforeAutospacing="0" w:after="120" w:afterAutospacing="0"/>
        <w:ind w:firstLine="426"/>
        <w:jc w:val="both"/>
        <w:rPr>
          <w:rFonts w:asciiTheme="minorHAnsi" w:hAnsiTheme="minorHAnsi"/>
          <w:sz w:val="20"/>
          <w:szCs w:val="20"/>
        </w:rPr>
      </w:pPr>
      <w:r w:rsidRPr="00E24535">
        <w:rPr>
          <w:rFonts w:asciiTheme="minorHAnsi" w:hAnsiTheme="minorHAnsi"/>
          <w:sz w:val="20"/>
          <w:szCs w:val="20"/>
        </w:rPr>
        <w:t>•</w:t>
      </w:r>
      <w:r w:rsidRPr="00D3137B">
        <w:rPr>
          <w:b/>
          <w:bCs/>
          <w:sz w:val="20"/>
          <w:szCs w:val="20"/>
        </w:rPr>
        <w:tab/>
      </w:r>
      <w:r w:rsidRPr="00B27734">
        <w:rPr>
          <w:rFonts w:asciiTheme="minorHAnsi" w:hAnsiTheme="minorHAnsi"/>
          <w:b/>
          <w:bCs/>
          <w:sz w:val="20"/>
          <w:szCs w:val="20"/>
        </w:rPr>
        <w:t>La convention d’accord-cadre</w:t>
      </w:r>
      <w:r w:rsidRPr="00E24535">
        <w:rPr>
          <w:rFonts w:asciiTheme="minorHAnsi" w:hAnsiTheme="minorHAnsi"/>
          <w:sz w:val="20"/>
          <w:szCs w:val="20"/>
        </w:rPr>
        <w:t xml:space="preserve"> de l’accord-cadre ;</w:t>
      </w:r>
    </w:p>
    <w:p w14:paraId="11F295A4" w14:textId="0FDB64E5" w:rsidR="00E24535" w:rsidRPr="00E24535" w:rsidRDefault="00E24535" w:rsidP="00DB091B">
      <w:pPr>
        <w:pStyle w:val="NormalWeb"/>
        <w:numPr>
          <w:ilvl w:val="0"/>
          <w:numId w:val="13"/>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Le cahier des Clauses Techniques Particulières (</w:t>
      </w:r>
      <w:r w:rsidRPr="00A87D4A">
        <w:rPr>
          <w:rFonts w:asciiTheme="minorHAnsi" w:hAnsiTheme="minorHAnsi"/>
          <w:b/>
          <w:bCs/>
          <w:sz w:val="20"/>
          <w:szCs w:val="20"/>
        </w:rPr>
        <w:t>CCTP-MS</w:t>
      </w:r>
      <w:r w:rsidRPr="00E24535">
        <w:rPr>
          <w:rFonts w:asciiTheme="minorHAnsi" w:hAnsiTheme="minorHAnsi"/>
          <w:sz w:val="20"/>
          <w:szCs w:val="20"/>
        </w:rPr>
        <w:t xml:space="preserve">) du marché subséquent ou le descriptif technique des prestations le cas échéant ; </w:t>
      </w:r>
    </w:p>
    <w:p w14:paraId="1C0F1323" w14:textId="427C4B43" w:rsidR="00E24535" w:rsidRDefault="00E24535" w:rsidP="00E24535">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 cahier des clauses techniques particulières (</w:t>
      </w:r>
      <w:r w:rsidRPr="00A87D4A">
        <w:rPr>
          <w:rFonts w:asciiTheme="minorHAnsi" w:hAnsiTheme="minorHAnsi"/>
          <w:b/>
          <w:bCs/>
          <w:sz w:val="20"/>
          <w:szCs w:val="20"/>
        </w:rPr>
        <w:t>CCTP-AC</w:t>
      </w:r>
      <w:r w:rsidRPr="00E24535">
        <w:rPr>
          <w:rFonts w:asciiTheme="minorHAnsi" w:hAnsiTheme="minorHAnsi"/>
          <w:sz w:val="20"/>
          <w:szCs w:val="20"/>
        </w:rPr>
        <w:t>) de l’accord-cadre et ses annexes ;</w:t>
      </w:r>
    </w:p>
    <w:p w14:paraId="1681504A" w14:textId="5D4A74CE" w:rsidR="00E24535" w:rsidRDefault="00E24535" w:rsidP="00DB091B">
      <w:pPr>
        <w:pStyle w:val="NormalWeb"/>
        <w:numPr>
          <w:ilvl w:val="0"/>
          <w:numId w:val="13"/>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 xml:space="preserve">Les éléments de la </w:t>
      </w:r>
      <w:r w:rsidRPr="00A87D4A">
        <w:rPr>
          <w:rFonts w:asciiTheme="minorHAnsi" w:hAnsiTheme="minorHAnsi"/>
          <w:b/>
          <w:bCs/>
          <w:sz w:val="20"/>
          <w:szCs w:val="20"/>
        </w:rPr>
        <w:t>décomposition de l’offre financière</w:t>
      </w:r>
      <w:r w:rsidRPr="00E24535">
        <w:rPr>
          <w:rFonts w:asciiTheme="minorHAnsi" w:hAnsiTheme="minorHAnsi"/>
          <w:sz w:val="20"/>
          <w:szCs w:val="20"/>
        </w:rPr>
        <w:t xml:space="preserve"> du titulaire définis dans le marché subséquent</w:t>
      </w:r>
      <w:r>
        <w:rPr>
          <w:rFonts w:asciiTheme="minorHAnsi" w:hAnsiTheme="minorHAnsi"/>
          <w:sz w:val="20"/>
          <w:szCs w:val="20"/>
        </w:rPr>
        <w:t xml:space="preserve"> </w:t>
      </w:r>
    </w:p>
    <w:p w14:paraId="0286519E" w14:textId="77777777" w:rsidR="00E24535" w:rsidRDefault="00E24535" w:rsidP="00E24535">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 xml:space="preserve">Les éléments de </w:t>
      </w:r>
      <w:r w:rsidRPr="00A87D4A">
        <w:rPr>
          <w:rFonts w:asciiTheme="minorHAnsi" w:hAnsiTheme="minorHAnsi"/>
          <w:b/>
          <w:bCs/>
          <w:sz w:val="20"/>
          <w:szCs w:val="20"/>
        </w:rPr>
        <w:t>décomposition de l’offre technique</w:t>
      </w:r>
      <w:r w:rsidRPr="00E24535">
        <w:rPr>
          <w:rFonts w:asciiTheme="minorHAnsi" w:hAnsiTheme="minorHAnsi"/>
          <w:sz w:val="20"/>
          <w:szCs w:val="20"/>
        </w:rPr>
        <w:t xml:space="preserve"> du titulaire définis dans le marché subséquent ;</w:t>
      </w:r>
    </w:p>
    <w:p w14:paraId="2AA59C04" w14:textId="45D2C0FF" w:rsidR="00E24535" w:rsidRPr="00E24535" w:rsidRDefault="00E24535" w:rsidP="00A87D4A">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w:t>
      </w:r>
      <w:r>
        <w:rPr>
          <w:rFonts w:asciiTheme="minorHAnsi" w:hAnsiTheme="minorHAnsi"/>
          <w:sz w:val="20"/>
          <w:szCs w:val="20"/>
        </w:rPr>
        <w:t>e</w:t>
      </w:r>
      <w:r w:rsidRPr="00E24535">
        <w:rPr>
          <w:rFonts w:asciiTheme="minorHAnsi" w:hAnsiTheme="minorHAnsi"/>
          <w:sz w:val="20"/>
          <w:szCs w:val="20"/>
        </w:rPr>
        <w:t xml:space="preserve"> </w:t>
      </w:r>
      <w:r w:rsidRPr="00A87D4A">
        <w:rPr>
          <w:rFonts w:asciiTheme="minorHAnsi" w:hAnsiTheme="minorHAnsi"/>
          <w:b/>
          <w:bCs/>
          <w:sz w:val="20"/>
          <w:szCs w:val="20"/>
        </w:rPr>
        <w:t>cadre de réponse technique de l’accord-cadre</w:t>
      </w:r>
      <w:r w:rsidRPr="00E24535">
        <w:rPr>
          <w:rFonts w:asciiTheme="minorHAnsi" w:hAnsiTheme="minorHAnsi"/>
          <w:sz w:val="20"/>
          <w:szCs w:val="20"/>
        </w:rPr>
        <w:t xml:space="preserve"> remis par le titulaire ;</w:t>
      </w:r>
    </w:p>
    <w:p w14:paraId="7A5072AD" w14:textId="383CA70D" w:rsidR="00E24535" w:rsidRDefault="00E24535" w:rsidP="00E24535">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Les</w:t>
      </w:r>
      <w:r w:rsidRPr="00A87D4A">
        <w:rPr>
          <w:rFonts w:asciiTheme="minorHAnsi" w:hAnsiTheme="minorHAnsi"/>
          <w:b/>
          <w:bCs/>
          <w:sz w:val="20"/>
          <w:szCs w:val="20"/>
        </w:rPr>
        <w:t xml:space="preserve"> bons de commande</w:t>
      </w:r>
      <w:r w:rsidRPr="00E24535">
        <w:rPr>
          <w:rFonts w:asciiTheme="minorHAnsi" w:hAnsiTheme="minorHAnsi"/>
          <w:sz w:val="20"/>
          <w:szCs w:val="20"/>
        </w:rPr>
        <w:t xml:space="preserve"> </w:t>
      </w:r>
      <w:r>
        <w:rPr>
          <w:rFonts w:asciiTheme="minorHAnsi" w:hAnsiTheme="minorHAnsi"/>
          <w:sz w:val="20"/>
          <w:szCs w:val="20"/>
        </w:rPr>
        <w:t>le cas échéant</w:t>
      </w:r>
      <w:r w:rsidR="0039575A">
        <w:rPr>
          <w:rFonts w:asciiTheme="minorHAnsi" w:hAnsiTheme="minorHAnsi"/>
          <w:sz w:val="20"/>
          <w:szCs w:val="20"/>
        </w:rPr>
        <w:t>.</w:t>
      </w:r>
    </w:p>
    <w:p w14:paraId="75F4449A" w14:textId="77777777" w:rsidR="0039575A" w:rsidRPr="00A577D9" w:rsidRDefault="0039575A" w:rsidP="0039575A">
      <w:pPr>
        <w:pStyle w:val="NormalWeb"/>
        <w:spacing w:before="120" w:after="120"/>
        <w:jc w:val="both"/>
        <w:rPr>
          <w:rFonts w:asciiTheme="minorHAnsi" w:hAnsiTheme="minorHAnsi"/>
          <w:i/>
          <w:iCs/>
          <w:sz w:val="20"/>
          <w:szCs w:val="20"/>
        </w:rPr>
      </w:pPr>
      <w:r w:rsidRPr="00A577D9">
        <w:rPr>
          <w:rFonts w:asciiTheme="minorHAnsi" w:hAnsiTheme="minorHAnsi"/>
          <w:i/>
          <w:iCs/>
          <w:sz w:val="20"/>
          <w:szCs w:val="20"/>
        </w:rPr>
        <w:t xml:space="preserve">Pièces générales : </w:t>
      </w:r>
    </w:p>
    <w:p w14:paraId="092B218A" w14:textId="442669E5" w:rsidR="0039575A" w:rsidRPr="00B27734" w:rsidRDefault="0039575A" w:rsidP="00DB091B">
      <w:pPr>
        <w:pStyle w:val="NormalWeb"/>
        <w:numPr>
          <w:ilvl w:val="0"/>
          <w:numId w:val="13"/>
        </w:numPr>
        <w:spacing w:before="120" w:after="120"/>
        <w:ind w:hanging="294"/>
        <w:jc w:val="both"/>
        <w:rPr>
          <w:rFonts w:asciiTheme="minorHAnsi" w:hAnsiTheme="minorHAnsi"/>
          <w:sz w:val="20"/>
          <w:szCs w:val="20"/>
          <w:u w:val="single"/>
        </w:rPr>
      </w:pPr>
      <w:r w:rsidRPr="0039575A">
        <w:rPr>
          <w:rFonts w:asciiTheme="minorHAnsi" w:hAnsiTheme="minorHAnsi"/>
          <w:sz w:val="20"/>
          <w:szCs w:val="20"/>
        </w:rPr>
        <w:t xml:space="preserve">Le </w:t>
      </w:r>
      <w:r w:rsidRPr="00A87D4A">
        <w:rPr>
          <w:rFonts w:asciiTheme="minorHAnsi" w:hAnsiTheme="minorHAnsi"/>
          <w:b/>
          <w:bCs/>
          <w:sz w:val="20"/>
          <w:szCs w:val="20"/>
        </w:rPr>
        <w:t>Cahier des Clauses Administratives Générales</w:t>
      </w:r>
      <w:r w:rsidRPr="0039575A">
        <w:rPr>
          <w:rFonts w:asciiTheme="minorHAnsi" w:hAnsiTheme="minorHAnsi"/>
          <w:sz w:val="20"/>
          <w:szCs w:val="20"/>
        </w:rPr>
        <w:t xml:space="preserve"> des marchés publics de techniques de l'information et de la communication (CCAG-</w:t>
      </w:r>
      <w:r>
        <w:rPr>
          <w:rFonts w:asciiTheme="minorHAnsi" w:hAnsiTheme="minorHAnsi"/>
          <w:sz w:val="20"/>
          <w:szCs w:val="20"/>
        </w:rPr>
        <w:t>TIC</w:t>
      </w:r>
      <w:r w:rsidRPr="0039575A">
        <w:rPr>
          <w:rFonts w:asciiTheme="minorHAnsi" w:hAnsiTheme="minorHAnsi"/>
          <w:sz w:val="20"/>
          <w:szCs w:val="20"/>
        </w:rPr>
        <w:t>) approuvé par l’arrêté du 30 mars 2021 (publié au JORF du 1er avril 2021)</w:t>
      </w:r>
      <w:r>
        <w:rPr>
          <w:rFonts w:asciiTheme="minorHAnsi" w:hAnsiTheme="minorHAnsi"/>
          <w:sz w:val="20"/>
          <w:szCs w:val="20"/>
        </w:rPr>
        <w:t>.</w:t>
      </w:r>
    </w:p>
    <w:p w14:paraId="249C93B7" w14:textId="6E5F2D88" w:rsidR="00E24535" w:rsidRPr="00F13EFD" w:rsidRDefault="0039575A" w:rsidP="00A87D4A">
      <w:pPr>
        <w:pStyle w:val="NormalWeb"/>
        <w:spacing w:before="120" w:beforeAutospacing="0" w:after="120" w:afterAutospacing="0"/>
        <w:jc w:val="both"/>
        <w:rPr>
          <w:rFonts w:asciiTheme="minorHAnsi" w:hAnsiTheme="minorHAnsi"/>
          <w:sz w:val="20"/>
          <w:szCs w:val="20"/>
        </w:rPr>
      </w:pPr>
      <w:r w:rsidRPr="0039575A">
        <w:rPr>
          <w:rFonts w:asciiTheme="minorHAnsi" w:hAnsiTheme="minorHAnsi"/>
          <w:sz w:val="20"/>
          <w:szCs w:val="20"/>
        </w:rPr>
        <w:lastRenderedPageBreak/>
        <w:t>Nb : Dans l’hypothèse où ces documents font l’objet d’une mise au point, celle-ci est rendue contractuelle.</w:t>
      </w:r>
    </w:p>
    <w:p w14:paraId="001E3830" w14:textId="428B8DB9" w:rsidR="002550BB" w:rsidRPr="004F184E" w:rsidRDefault="00A577D9" w:rsidP="002550BB">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Le cas échéant, i</w:t>
      </w:r>
      <w:r w:rsidR="004F184E" w:rsidRPr="004F184E">
        <w:rPr>
          <w:rFonts w:asciiTheme="minorHAnsi" w:hAnsiTheme="minorHAnsi"/>
          <w:sz w:val="20"/>
          <w:szCs w:val="20"/>
        </w:rPr>
        <w:t xml:space="preserve">l est précisé que le DQE n’a pas de valeur contractuelle. </w:t>
      </w:r>
    </w:p>
    <w:p w14:paraId="4F651562" w14:textId="77777777" w:rsidR="00F2004B" w:rsidRPr="00A577D9" w:rsidRDefault="00F2004B" w:rsidP="002550BB">
      <w:pPr>
        <w:pStyle w:val="NormalWeb"/>
        <w:spacing w:before="120" w:beforeAutospacing="0" w:after="120" w:afterAutospacing="0"/>
        <w:jc w:val="both"/>
        <w:rPr>
          <w:rFonts w:asciiTheme="minorHAnsi" w:hAnsiTheme="minorHAnsi"/>
          <w:b/>
          <w:bCs/>
          <w:sz w:val="20"/>
          <w:szCs w:val="20"/>
        </w:rPr>
      </w:pPr>
      <w:r w:rsidRPr="00A577D9">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w:t>
      </w:r>
      <w:r w:rsidR="00926FAB" w:rsidRPr="00A577D9">
        <w:rPr>
          <w:rFonts w:asciiTheme="minorHAnsi" w:hAnsiTheme="minorHAnsi"/>
          <w:b/>
          <w:bCs/>
          <w:sz w:val="20"/>
          <w:szCs w:val="20"/>
        </w:rPr>
        <w:t>e priorité des pièces du marché</w:t>
      </w:r>
      <w:r w:rsidRPr="00A577D9">
        <w:rPr>
          <w:rFonts w:asciiTheme="minorHAnsi" w:hAnsiTheme="minorHAnsi"/>
          <w:b/>
          <w:bCs/>
          <w:sz w:val="20"/>
          <w:szCs w:val="20"/>
        </w:rPr>
        <w:t>, est d'application générale, sauf dans les cas suivants :</w:t>
      </w:r>
    </w:p>
    <w:p w14:paraId="2E97A89A" w14:textId="77777777" w:rsidR="00F2004B" w:rsidRPr="00F13EFD" w:rsidRDefault="00F2004B" w:rsidP="00DB091B">
      <w:pPr>
        <w:pStyle w:val="NormalWeb"/>
        <w:numPr>
          <w:ilvl w:val="0"/>
          <w:numId w:val="14"/>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0B2BDA84" w14:textId="77777777" w:rsidR="00F2004B" w:rsidRPr="00F13EFD" w:rsidRDefault="00F2004B" w:rsidP="00DB091B">
      <w:pPr>
        <w:pStyle w:val="NormalWeb"/>
        <w:numPr>
          <w:ilvl w:val="0"/>
          <w:numId w:val="14"/>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2C6AA0C4" w14:textId="76F17DDC" w:rsidR="00F2004B" w:rsidRPr="00F13EFD" w:rsidRDefault="00F2004B" w:rsidP="00DB091B">
      <w:pPr>
        <w:pStyle w:val="NormalWeb"/>
        <w:numPr>
          <w:ilvl w:val="0"/>
          <w:numId w:val="14"/>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sidR="00E20E3E">
        <w:rPr>
          <w:rFonts w:asciiTheme="minorHAnsi" w:hAnsiTheme="minorHAnsi"/>
          <w:sz w:val="20"/>
          <w:szCs w:val="20"/>
        </w:rPr>
        <w:t>l’acheteur</w:t>
      </w:r>
      <w:r w:rsidRPr="00F13EFD">
        <w:rPr>
          <w:rFonts w:asciiTheme="minorHAnsi" w:hAnsiTheme="minorHAnsi"/>
          <w:sz w:val="20"/>
          <w:szCs w:val="20"/>
        </w:rPr>
        <w:t xml:space="preserve"> et le Titulaire.</w:t>
      </w:r>
    </w:p>
    <w:p w14:paraId="1CED9EC0"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29059237" w14:textId="7AC7C7D6" w:rsidR="00DD39EF" w:rsidRPr="0079750C" w:rsidRDefault="00DD39EF" w:rsidP="0079750C">
      <w:pPr>
        <w:pStyle w:val="Titre1"/>
        <w:shd w:val="clear" w:color="auto" w:fill="DC8C00"/>
        <w:contextualSpacing/>
        <w:rPr>
          <w:color w:val="FFFFFF" w:themeColor="background1"/>
        </w:rPr>
      </w:pPr>
      <w:bookmarkStart w:id="89" w:name="_Toc222244181"/>
      <w:r w:rsidRPr="002336AB">
        <w:rPr>
          <w:color w:val="FFFFFF" w:themeColor="background1"/>
        </w:rPr>
        <w:t>Prix</w:t>
      </w:r>
      <w:bookmarkEnd w:id="89"/>
      <w:r w:rsidRPr="002336AB">
        <w:rPr>
          <w:color w:val="FFFFFF" w:themeColor="background1"/>
        </w:rPr>
        <w:t xml:space="preserve">  </w:t>
      </w:r>
    </w:p>
    <w:p w14:paraId="326782AB" w14:textId="314CEDDA" w:rsidR="0097379E"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0" w:name="_Toc222244182"/>
      <w:r w:rsidRPr="004F184E">
        <w:rPr>
          <w:bCs w:val="0"/>
          <w:color w:val="683766"/>
          <w:sz w:val="22"/>
          <w:szCs w:val="22"/>
        </w:rPr>
        <w:t>Forme du prix</w:t>
      </w:r>
      <w:bookmarkEnd w:id="9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03A00EF7" w:rsidR="0097379E" w:rsidRPr="003B5B95" w:rsidRDefault="009F65B7" w:rsidP="0097379E">
      <w:pPr>
        <w:pStyle w:val="Titre2"/>
        <w:shd w:val="clear" w:color="auto" w:fill="auto"/>
        <w:tabs>
          <w:tab w:val="num" w:pos="720"/>
        </w:tabs>
        <w:spacing w:before="120" w:after="120"/>
        <w:ind w:left="720" w:hanging="720"/>
        <w:contextualSpacing/>
        <w:rPr>
          <w:bCs w:val="0"/>
          <w:color w:val="683766"/>
          <w:sz w:val="22"/>
          <w:szCs w:val="22"/>
        </w:rPr>
      </w:pPr>
      <w:bookmarkStart w:id="91" w:name="_Toc222244183"/>
      <w:r>
        <w:rPr>
          <w:bCs w:val="0"/>
          <w:color w:val="683766"/>
          <w:sz w:val="22"/>
          <w:szCs w:val="22"/>
        </w:rPr>
        <w:t>Caractéristiques des prix pratiqués de l’accord-cadre</w:t>
      </w:r>
      <w:bookmarkEnd w:id="91"/>
    </w:p>
    <w:p w14:paraId="79675488" w14:textId="62F9C4CF" w:rsidR="009F65B7" w:rsidRPr="0079750C" w:rsidRDefault="009F65B7" w:rsidP="009F65B7">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79750C">
        <w:rPr>
          <w:rFonts w:asciiTheme="minorHAnsi" w:eastAsiaTheme="minorHAnsi" w:hAnsiTheme="minorHAnsi" w:cstheme="minorBidi"/>
          <w:bCs/>
          <w:spacing w:val="0"/>
          <w:lang w:eastAsia="en-US"/>
        </w:rPr>
        <w:t xml:space="preserve">Accord-cadre à bons de commande, sans montant minimum et avec un </w:t>
      </w:r>
      <w:r w:rsidRPr="0079750C">
        <w:rPr>
          <w:rFonts w:asciiTheme="minorHAnsi" w:eastAsiaTheme="minorHAnsi" w:hAnsiTheme="minorHAnsi" w:cstheme="minorBidi"/>
          <w:b/>
          <w:spacing w:val="0"/>
          <w:lang w:eastAsia="en-US"/>
        </w:rPr>
        <w:t>montant maximum</w:t>
      </w:r>
      <w:r w:rsidRPr="0079750C">
        <w:rPr>
          <w:rFonts w:asciiTheme="minorHAnsi" w:eastAsiaTheme="minorHAnsi" w:hAnsiTheme="minorHAnsi" w:cstheme="minorBidi"/>
          <w:bCs/>
          <w:spacing w:val="0"/>
          <w:lang w:eastAsia="en-US"/>
        </w:rPr>
        <w:t xml:space="preserve"> fixé en valeur </w:t>
      </w:r>
    </w:p>
    <w:p w14:paraId="0C22E22A"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5A58A99D" w14:textId="77777777" w:rsidR="00B27734"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sidRPr="00AF330C">
        <w:rPr>
          <w:rFonts w:asciiTheme="minorHAnsi" w:eastAsiaTheme="minorHAnsi" w:hAnsiTheme="minorHAnsi" w:cstheme="minorBidi"/>
          <w:b/>
          <w:spacing w:val="0"/>
          <w:lang w:eastAsia="en-US"/>
        </w:rPr>
        <w:t xml:space="preserve">Montant maximum : </w:t>
      </w:r>
    </w:p>
    <w:p w14:paraId="314B295E" w14:textId="7C5019FB" w:rsidR="009F65B7" w:rsidRPr="00AF330C" w:rsidRDefault="009F65B7" w:rsidP="00B27734">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Pr>
          <w:rFonts w:asciiTheme="minorHAnsi" w:eastAsiaTheme="minorHAnsi" w:hAnsiTheme="minorHAnsi" w:cstheme="minorBidi"/>
          <w:b/>
          <w:spacing w:val="0"/>
          <w:lang w:eastAsia="en-US"/>
        </w:rPr>
        <w:t>35</w:t>
      </w:r>
      <w:r w:rsidRPr="00AF330C">
        <w:rPr>
          <w:rFonts w:asciiTheme="minorHAnsi" w:eastAsiaTheme="minorHAnsi" w:hAnsiTheme="minorHAnsi" w:cstheme="minorBidi"/>
          <w:b/>
          <w:spacing w:val="0"/>
          <w:lang w:eastAsia="en-US"/>
        </w:rPr>
        <w:t>0 000 euros HT par an</w:t>
      </w:r>
      <w:r w:rsidR="00B27734">
        <w:rPr>
          <w:rStyle w:val="Marquedecommentaire"/>
          <w:rFonts w:asciiTheme="minorHAnsi" w:eastAsiaTheme="minorHAnsi" w:hAnsiTheme="minorHAnsi" w:cstheme="minorBidi"/>
          <w:b/>
          <w:spacing w:val="0"/>
          <w:sz w:val="20"/>
          <w:szCs w:val="20"/>
          <w:lang w:eastAsia="en-US"/>
        </w:rPr>
        <w:t xml:space="preserve">, </w:t>
      </w:r>
      <w:r w:rsidR="00B27734">
        <w:rPr>
          <w:rFonts w:asciiTheme="minorHAnsi" w:eastAsiaTheme="minorHAnsi" w:hAnsiTheme="minorHAnsi" w:cstheme="minorBidi"/>
          <w:b/>
          <w:spacing w:val="0"/>
          <w:lang w:eastAsia="en-US"/>
        </w:rPr>
        <w:t>soit</w:t>
      </w:r>
      <w:r w:rsidRPr="00B27734">
        <w:rPr>
          <w:rFonts w:asciiTheme="minorHAnsi" w:eastAsiaTheme="minorHAnsi" w:hAnsiTheme="minorHAnsi" w:cstheme="minorBidi"/>
          <w:b/>
          <w:spacing w:val="0"/>
          <w:lang w:eastAsia="en-US"/>
        </w:rPr>
        <w:t xml:space="preserve"> un montant total maximum de 1 400 000 euros HT </w:t>
      </w:r>
      <w:r w:rsidR="00D977D4">
        <w:rPr>
          <w:rFonts w:asciiTheme="minorHAnsi" w:eastAsiaTheme="minorHAnsi" w:hAnsiTheme="minorHAnsi" w:cstheme="minorBidi"/>
          <w:b/>
          <w:spacing w:val="0"/>
          <w:lang w:eastAsia="en-US"/>
        </w:rPr>
        <w:t>su</w:t>
      </w:r>
      <w:r w:rsidRPr="00B27734">
        <w:rPr>
          <w:rFonts w:asciiTheme="minorHAnsi" w:eastAsiaTheme="minorHAnsi" w:hAnsiTheme="minorHAnsi" w:cstheme="minorBidi"/>
          <w:b/>
          <w:spacing w:val="0"/>
          <w:lang w:eastAsia="en-US"/>
        </w:rPr>
        <w:t>r la durée totale de l’accord-cadre</w:t>
      </w:r>
      <w:r w:rsidR="00D977D4">
        <w:rPr>
          <w:rFonts w:asciiTheme="minorHAnsi" w:eastAsiaTheme="minorHAnsi" w:hAnsiTheme="minorHAnsi" w:cstheme="minorBidi"/>
          <w:b/>
          <w:spacing w:val="0"/>
          <w:lang w:eastAsia="en-US"/>
        </w:rPr>
        <w:t>, reconductions comprises</w:t>
      </w:r>
      <w:r w:rsidR="00B27734">
        <w:rPr>
          <w:rFonts w:asciiTheme="minorHAnsi" w:eastAsiaTheme="minorHAnsi" w:hAnsiTheme="minorHAnsi" w:cstheme="minorBidi"/>
          <w:b/>
          <w:spacing w:val="0"/>
          <w:lang w:eastAsia="en-US"/>
        </w:rPr>
        <w:t>.</w:t>
      </w:r>
    </w:p>
    <w:p w14:paraId="2B7ED943"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3C6D274C" w14:textId="77777777" w:rsidR="009F65B7" w:rsidRDefault="009F65B7" w:rsidP="00AF330C">
      <w:pPr>
        <w:pStyle w:val="05ARTICLENiv1-Texte"/>
        <w:shd w:val="clear" w:color="auto" w:fill="FFFFFF" w:themeFill="background1"/>
        <w:rPr>
          <w:rFonts w:asciiTheme="minorHAnsi" w:eastAsiaTheme="minorHAnsi" w:hAnsiTheme="minorHAnsi" w:cstheme="minorBidi"/>
          <w:bCs/>
          <w:color w:val="auto"/>
          <w:spacing w:val="0"/>
          <w:lang w:eastAsia="en-US"/>
        </w:rPr>
      </w:pPr>
    </w:p>
    <w:p w14:paraId="10CD4F21" w14:textId="049AA9B5"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 xml:space="preserve">L’offre de prix pour l’accord-cadre est constituée par le Bordereau des Prix Unitaires </w:t>
      </w:r>
      <w:r w:rsidR="009F65B7">
        <w:rPr>
          <w:rFonts w:asciiTheme="minorHAnsi" w:eastAsiaTheme="minorHAnsi" w:hAnsiTheme="minorHAnsi" w:cstheme="minorBidi"/>
          <w:bCs/>
          <w:color w:val="auto"/>
          <w:spacing w:val="0"/>
          <w:lang w:eastAsia="en-US"/>
        </w:rPr>
        <w:t xml:space="preserve">de l’accord-cadre </w:t>
      </w:r>
      <w:r w:rsidRPr="00AF330C">
        <w:rPr>
          <w:rFonts w:asciiTheme="minorHAnsi" w:eastAsiaTheme="minorHAnsi" w:hAnsiTheme="minorHAnsi" w:cstheme="minorBidi"/>
          <w:bCs/>
          <w:color w:val="auto"/>
          <w:spacing w:val="0"/>
          <w:lang w:eastAsia="en-US"/>
        </w:rPr>
        <w:t>(BPU</w:t>
      </w:r>
      <w:r w:rsidR="009F65B7">
        <w:rPr>
          <w:rFonts w:asciiTheme="minorHAnsi" w:eastAsiaTheme="minorHAnsi" w:hAnsiTheme="minorHAnsi" w:cstheme="minorBidi"/>
          <w:bCs/>
          <w:color w:val="auto"/>
          <w:spacing w:val="0"/>
          <w:lang w:eastAsia="en-US"/>
        </w:rPr>
        <w:t>-AC</w:t>
      </w:r>
      <w:r w:rsidRPr="00AF330C">
        <w:rPr>
          <w:rFonts w:asciiTheme="minorHAnsi" w:eastAsiaTheme="minorHAnsi" w:hAnsiTheme="minorHAnsi" w:cstheme="minorBidi"/>
          <w:bCs/>
          <w:color w:val="auto"/>
          <w:spacing w:val="0"/>
          <w:lang w:eastAsia="en-US"/>
        </w:rPr>
        <w:t>)</w:t>
      </w:r>
      <w:r>
        <w:rPr>
          <w:rFonts w:asciiTheme="minorHAnsi" w:eastAsiaTheme="minorHAnsi" w:hAnsiTheme="minorHAnsi" w:cstheme="minorBidi"/>
          <w:bCs/>
          <w:color w:val="auto"/>
          <w:spacing w:val="0"/>
          <w:lang w:eastAsia="en-US"/>
        </w:rPr>
        <w:t xml:space="preserve"> du lot</w:t>
      </w:r>
      <w:r w:rsidR="009F65B7">
        <w:rPr>
          <w:rFonts w:asciiTheme="minorHAnsi" w:eastAsiaTheme="minorHAnsi" w:hAnsiTheme="minorHAnsi" w:cstheme="minorBidi"/>
          <w:bCs/>
          <w:color w:val="auto"/>
          <w:spacing w:val="0"/>
          <w:lang w:eastAsia="en-US"/>
        </w:rPr>
        <w:t xml:space="preserve"> concerné</w:t>
      </w:r>
      <w:r w:rsidR="006A7B60">
        <w:rPr>
          <w:rFonts w:asciiTheme="minorHAnsi" w:eastAsiaTheme="minorHAnsi" w:hAnsiTheme="minorHAnsi" w:cstheme="minorBidi"/>
          <w:bCs/>
          <w:color w:val="auto"/>
          <w:spacing w:val="0"/>
          <w:lang w:eastAsia="en-US"/>
        </w:rPr>
        <w:t>,</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9134741" w14:textId="404BDC80" w:rsidR="009F65B7" w:rsidRPr="00B27734" w:rsidRDefault="009F65B7" w:rsidP="00B27734">
      <w:pPr>
        <w:pStyle w:val="05ARTICLENiv1-Texte"/>
        <w:shd w:val="clear" w:color="auto" w:fill="FFFFFF" w:themeFill="background1"/>
        <w:rPr>
          <w:rFonts w:eastAsiaTheme="minorHAnsi"/>
        </w:rPr>
      </w:pPr>
      <w:r w:rsidRPr="009F65B7">
        <w:rPr>
          <w:rFonts w:asciiTheme="minorHAnsi" w:eastAsiaTheme="minorHAnsi" w:hAnsiTheme="minorHAnsi" w:cstheme="minorBidi"/>
          <w:bCs/>
          <w:color w:val="auto"/>
          <w:spacing w:val="0"/>
          <w:lang w:eastAsia="en-US"/>
        </w:rPr>
        <w:t>Ces prix sont des prix plafonds ; aussi, lors de la conclusion de chaque marché subséquent, après identification précise du contenu des marchés (missions, équipements concernés, lieu d'intervention, modalités d'intervention du titulaire, ...), les compléments apportés par le titulaire à son offre devront respecter le bordereau de prix ci-annexé sur lequel il s'engage, sauf application de la clause de variation des prix de l'accord-cadre définie ci-dessous, et sauf application de prestations non prévues par le BPU-AC et correspondant à des prestations spéciales à un marché subséquent qui feront l’objet d’un devis détaillé de l’entreprise.</w:t>
      </w: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220FFA58" w14:textId="5B4B78D8" w:rsidR="009F65B7" w:rsidRPr="009F65B7" w:rsidRDefault="009F65B7" w:rsidP="00B27734">
      <w:pPr>
        <w:pStyle w:val="Titre2"/>
        <w:shd w:val="clear" w:color="auto" w:fill="auto"/>
        <w:tabs>
          <w:tab w:val="num" w:pos="720"/>
        </w:tabs>
        <w:spacing w:before="120" w:after="120"/>
        <w:ind w:left="720" w:hanging="720"/>
        <w:contextualSpacing/>
        <w:rPr>
          <w:bCs w:val="0"/>
          <w:color w:val="683766"/>
          <w:sz w:val="22"/>
          <w:szCs w:val="22"/>
        </w:rPr>
      </w:pPr>
      <w:bookmarkStart w:id="92" w:name="_Toc125273000"/>
      <w:bookmarkStart w:id="93" w:name="_Toc221004748"/>
      <w:bookmarkStart w:id="94" w:name="_Toc248736085"/>
      <w:bookmarkStart w:id="95" w:name="_Toc89956338"/>
      <w:bookmarkStart w:id="96" w:name="_Toc222244184"/>
      <w:r>
        <w:rPr>
          <w:bCs w:val="0"/>
          <w:color w:val="683766"/>
          <w:sz w:val="22"/>
          <w:szCs w:val="22"/>
        </w:rPr>
        <w:t>Caractéristiques des prix pratiqués d</w:t>
      </w:r>
      <w:r w:rsidR="00B27734">
        <w:rPr>
          <w:bCs w:val="0"/>
          <w:color w:val="683766"/>
          <w:sz w:val="22"/>
          <w:szCs w:val="22"/>
        </w:rPr>
        <w:t>u marché subséquent</w:t>
      </w:r>
      <w:bookmarkEnd w:id="96"/>
    </w:p>
    <w:p w14:paraId="0D924F40"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Les prix des marchés subséquents seront des prix définitifs. </w:t>
      </w:r>
    </w:p>
    <w:p w14:paraId="40F6F8A2"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La forme du prix d’un marché subséquent sera déterminée par ce dernier</w:t>
      </w:r>
      <w:r w:rsidRPr="00B27734">
        <w:rPr>
          <w:rFonts w:asciiTheme="minorHAnsi" w:hAnsiTheme="minorHAnsi"/>
          <w:b/>
          <w:bCs/>
          <w:sz w:val="20"/>
          <w:szCs w:val="20"/>
        </w:rPr>
        <w:t>. Les marchés subséquents pourront être à prix unitaires, forfaitaires ou mixtes</w:t>
      </w:r>
      <w:r w:rsidRPr="00082CB5">
        <w:rPr>
          <w:rFonts w:asciiTheme="minorHAnsi" w:hAnsiTheme="minorHAnsi"/>
          <w:sz w:val="20"/>
          <w:szCs w:val="20"/>
        </w:rPr>
        <w:t xml:space="preserve"> selon la nature des prestations demandées.</w:t>
      </w:r>
    </w:p>
    <w:p w14:paraId="5285342F" w14:textId="2DA7F34E" w:rsidR="009F65B7" w:rsidRPr="00B27734" w:rsidRDefault="009F65B7" w:rsidP="00B27734">
      <w:pPr>
        <w:pStyle w:val="NormalWeb"/>
        <w:spacing w:before="120" w:beforeAutospacing="0" w:after="120" w:afterAutospacing="0"/>
        <w:jc w:val="both"/>
        <w:rPr>
          <w:bCs/>
          <w:sz w:val="20"/>
          <w:szCs w:val="20"/>
        </w:rPr>
      </w:pPr>
      <w:r w:rsidRPr="00082CB5">
        <w:rPr>
          <w:rFonts w:asciiTheme="minorHAnsi" w:hAnsiTheme="minorHAnsi"/>
          <w:sz w:val="20"/>
          <w:szCs w:val="20"/>
        </w:rPr>
        <w:lastRenderedPageBreak/>
        <w:t xml:space="preserve">Quelle que soit la forme du prix retenu dans les marchés subséquents, les prix sont réputés comprendre toutes les charges fiscales ou autres frappant obligatoirement les prestations. </w:t>
      </w:r>
    </w:p>
    <w:p w14:paraId="6FD030CE" w14:textId="21F3D3C5" w:rsidR="0097379E" w:rsidRPr="00E117C6"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7" w:name="_Toc222244185"/>
      <w:r w:rsidRPr="00E117C6">
        <w:rPr>
          <w:bCs w:val="0"/>
          <w:color w:val="683766"/>
          <w:sz w:val="22"/>
          <w:szCs w:val="22"/>
        </w:rPr>
        <w:t>Contenu des prix</w:t>
      </w:r>
      <w:bookmarkEnd w:id="92"/>
      <w:bookmarkEnd w:id="93"/>
      <w:bookmarkEnd w:id="94"/>
      <w:bookmarkEnd w:id="95"/>
      <w:bookmarkEnd w:id="9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98" w:name="_Toc248474506"/>
      <w:bookmarkStart w:id="9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DB091B">
      <w:pPr>
        <w:pStyle w:val="05ARTICLENiv1-Texte"/>
        <w:numPr>
          <w:ilvl w:val="0"/>
          <w:numId w:val="11"/>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DB091B">
      <w:pPr>
        <w:pStyle w:val="05ARTICLENiv1-Texte"/>
        <w:numPr>
          <w:ilvl w:val="0"/>
          <w:numId w:val="11"/>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98"/>
    <w:bookmarkEnd w:id="9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100" w:name="_Toc356146853"/>
      <w:bookmarkStart w:id="101" w:name="_Toc482699950"/>
      <w:bookmarkStart w:id="102" w:name="_Toc222244186"/>
      <w:r w:rsidRPr="002336AB">
        <w:rPr>
          <w:color w:val="FFFFFF" w:themeColor="background1"/>
        </w:rPr>
        <w:t>Variation des prix</w:t>
      </w:r>
      <w:bookmarkEnd w:id="100"/>
      <w:bookmarkEnd w:id="101"/>
      <w:bookmarkEnd w:id="10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03" w:name="_Toc222244187"/>
      <w:r w:rsidRPr="00E117C6">
        <w:rPr>
          <w:bCs w:val="0"/>
          <w:color w:val="683766"/>
          <w:sz w:val="22"/>
          <w:szCs w:val="22"/>
        </w:rPr>
        <w:t>Mois d’établissement des prix</w:t>
      </w:r>
      <w:bookmarkEnd w:id="10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num" w:pos="720"/>
        </w:tabs>
        <w:spacing w:before="0" w:after="0"/>
        <w:ind w:left="720" w:hanging="720"/>
        <w:contextualSpacing/>
        <w:rPr>
          <w:bCs w:val="0"/>
          <w:color w:val="683766"/>
          <w:sz w:val="22"/>
          <w:szCs w:val="22"/>
        </w:rPr>
      </w:pPr>
      <w:bookmarkStart w:id="104" w:name="_Toc222244188"/>
      <w:r w:rsidRPr="00E117C6">
        <w:rPr>
          <w:bCs w:val="0"/>
          <w:color w:val="683766"/>
          <w:sz w:val="22"/>
          <w:szCs w:val="22"/>
        </w:rPr>
        <w:t>Modalités de variation des prix</w:t>
      </w:r>
      <w:bookmarkEnd w:id="104"/>
    </w:p>
    <w:p w14:paraId="2127F042" w14:textId="31263AE0"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w:t>
      </w:r>
    </w:p>
    <w:p w14:paraId="5A5892F1" w14:textId="6990775F" w:rsidR="00185B69" w:rsidRDefault="00185B69"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marchés subséquents sont conclus à prix ferme sauf disposition contraire dans les pièces du marché subséquent.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lastRenderedPageBreak/>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105" w:name="_Toc222244189"/>
      <w:r w:rsidRPr="002336AB">
        <w:rPr>
          <w:color w:val="FFFFFF" w:themeColor="background1"/>
        </w:rPr>
        <w:t>Clauses de réexamen</w:t>
      </w:r>
      <w:bookmarkEnd w:id="105"/>
    </w:p>
    <w:p w14:paraId="2D64E78F" w14:textId="37641FE8"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6" w:name="_Toc447210501"/>
      <w:bookmarkStart w:id="107" w:name="_Toc222244190"/>
      <w:r w:rsidRPr="00050F55">
        <w:rPr>
          <w:bCs w:val="0"/>
          <w:color w:val="683766"/>
          <w:sz w:val="22"/>
          <w:szCs w:val="22"/>
        </w:rPr>
        <w:t>Remplacement de l’un des titulaires initiaux par un nouveau titulaire en cours d’exécution</w:t>
      </w:r>
      <w:bookmarkEnd w:id="106"/>
      <w:bookmarkEnd w:id="10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lastRenderedPageBreak/>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remplaçant proposé pourra être :</w:t>
      </w:r>
    </w:p>
    <w:p w14:paraId="56AB85BD" w14:textId="403E2D81"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DB091B">
      <w:pPr>
        <w:pStyle w:val="05ARTICLENiv1-Texte"/>
        <w:numPr>
          <w:ilvl w:val="0"/>
          <w:numId w:val="20"/>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8" w:name="_Toc447210502"/>
      <w:bookmarkStart w:id="109" w:name="_Toc222244191"/>
      <w:r w:rsidRPr="00050F55">
        <w:rPr>
          <w:bCs w:val="0"/>
          <w:color w:val="683766"/>
          <w:sz w:val="22"/>
          <w:szCs w:val="22"/>
        </w:rPr>
        <w:t>Remplacement du mandataire du groupement en cours d’exécution</w:t>
      </w:r>
      <w:bookmarkEnd w:id="108"/>
      <w:bookmarkEnd w:id="10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508FC49F" w:rsidR="00654C02" w:rsidRPr="00654C02" w:rsidRDefault="00DB091B" w:rsidP="00654C02">
      <w:pPr>
        <w:pStyle w:val="Titre1"/>
        <w:shd w:val="clear" w:color="auto" w:fill="DC8C00"/>
        <w:contextualSpacing/>
        <w:rPr>
          <w:color w:val="FFFFFF" w:themeColor="background1"/>
        </w:rPr>
      </w:pPr>
      <w:bookmarkStart w:id="110" w:name="_Hlk83392294"/>
      <w:r>
        <w:rPr>
          <w:color w:val="FFFFFF" w:themeColor="background1"/>
        </w:rPr>
        <w:t>Avance</w:t>
      </w:r>
    </w:p>
    <w:p w14:paraId="5BF9473F" w14:textId="77777777" w:rsidR="00D35840" w:rsidRPr="002506B7" w:rsidRDefault="00D35840" w:rsidP="00D35840">
      <w:pPr>
        <w:spacing w:before="120" w:after="120" w:line="240" w:lineRule="auto"/>
        <w:jc w:val="both"/>
        <w:rPr>
          <w:rFonts w:ascii="Calibri" w:hAnsi="Calibri"/>
          <w:sz w:val="20"/>
          <w:szCs w:val="20"/>
        </w:rPr>
      </w:pPr>
      <w:r w:rsidRPr="002506B7">
        <w:rPr>
          <w:rFonts w:ascii="Calibri" w:hAnsi="Calibri"/>
          <w:sz w:val="20"/>
          <w:szCs w:val="20"/>
        </w:rPr>
        <w:t>Une avance est accordée au prestataire dans les conditions fixées par la réglementation en vigueur</w:t>
      </w:r>
      <w:r>
        <w:rPr>
          <w:rFonts w:ascii="Calibri" w:hAnsi="Calibri"/>
          <w:sz w:val="20"/>
          <w:szCs w:val="20"/>
        </w:rPr>
        <w:t xml:space="preserve">. Aucune avance ne sera versée pour les commandes inférieures à 50 000 € HT ou dont le délai d’exécution est inférieur à deux mois. </w:t>
      </w:r>
    </w:p>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lastRenderedPageBreak/>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7137005A" w14:textId="77777777" w:rsidR="00185B69" w:rsidRDefault="00185B69"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111" w:name="_Toc222244194"/>
      <w:bookmarkEnd w:id="110"/>
      <w:r w:rsidRPr="002336AB">
        <w:rPr>
          <w:color w:val="FFFFFF" w:themeColor="background1"/>
        </w:rPr>
        <w:t>Modalités de règlement des prestations</w:t>
      </w:r>
      <w:bookmarkEnd w:id="111"/>
    </w:p>
    <w:p w14:paraId="60BD0A65" w14:textId="77777777" w:rsidR="0042454B" w:rsidRPr="00050F55" w:rsidRDefault="0042454B" w:rsidP="00FB0ABE">
      <w:pPr>
        <w:pStyle w:val="Titre2"/>
        <w:shd w:val="clear" w:color="auto" w:fill="auto"/>
        <w:tabs>
          <w:tab w:val="num" w:pos="720"/>
        </w:tabs>
        <w:spacing w:before="120" w:after="120"/>
        <w:ind w:left="720" w:hanging="720"/>
        <w:rPr>
          <w:bCs w:val="0"/>
          <w:color w:val="683766"/>
          <w:sz w:val="22"/>
          <w:szCs w:val="22"/>
        </w:rPr>
      </w:pPr>
      <w:bookmarkStart w:id="112" w:name="_Toc222244195"/>
      <w:r w:rsidRPr="00050F55">
        <w:rPr>
          <w:bCs w:val="0"/>
          <w:color w:val="683766"/>
          <w:sz w:val="22"/>
          <w:szCs w:val="22"/>
        </w:rPr>
        <w:t>T.V.A.</w:t>
      </w:r>
      <w:bookmarkEnd w:id="112"/>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spacing w:before="0" w:after="0"/>
        <w:ind w:left="1418" w:hanging="1418"/>
        <w:contextualSpacing/>
        <w:rPr>
          <w:bCs w:val="0"/>
          <w:color w:val="683766"/>
          <w:sz w:val="22"/>
          <w:szCs w:val="22"/>
        </w:rPr>
      </w:pPr>
      <w:bookmarkStart w:id="113" w:name="_Hlk184224700"/>
      <w:bookmarkStart w:id="114" w:name="_Toc222244196"/>
      <w:r w:rsidRPr="00050F55">
        <w:rPr>
          <w:bCs w:val="0"/>
          <w:color w:val="683766"/>
          <w:sz w:val="22"/>
          <w:szCs w:val="22"/>
        </w:rPr>
        <w:t>Transmission des demandes de paiement</w:t>
      </w:r>
      <w:bookmarkEnd w:id="114"/>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lastRenderedPageBreak/>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5" w:name="_Hlk184224726"/>
      <w:bookmarkStart w:id="116" w:name="_Toc222244197"/>
      <w:bookmarkEnd w:id="113"/>
      <w:r>
        <w:rPr>
          <w:bCs w:val="0"/>
          <w:color w:val="683766"/>
          <w:sz w:val="22"/>
          <w:szCs w:val="22"/>
        </w:rPr>
        <w:t>Modalités et p</w:t>
      </w:r>
      <w:r w:rsidRPr="00050F55">
        <w:rPr>
          <w:bCs w:val="0"/>
          <w:color w:val="683766"/>
          <w:sz w:val="22"/>
          <w:szCs w:val="22"/>
        </w:rPr>
        <w:t>ériodicité des paiements</w:t>
      </w:r>
      <w:bookmarkEnd w:id="116"/>
      <w:r w:rsidRPr="00050F55">
        <w:rPr>
          <w:bCs w:val="0"/>
          <w:color w:val="683766"/>
          <w:sz w:val="22"/>
          <w:szCs w:val="22"/>
        </w:rPr>
        <w:t xml:space="preserve"> </w:t>
      </w:r>
    </w:p>
    <w:p w14:paraId="5ECD38DF" w14:textId="2D98321C"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6C2866" w14:textId="456B1952" w:rsidR="00740040" w:rsidRDefault="00D35840" w:rsidP="00740040">
      <w:pPr>
        <w:spacing w:before="120" w:after="120" w:line="240" w:lineRule="auto"/>
        <w:jc w:val="both"/>
        <w:rPr>
          <w:rFonts w:ascii="Calibri" w:hAnsi="Calibri"/>
          <w:sz w:val="20"/>
          <w:szCs w:val="20"/>
        </w:rPr>
      </w:pPr>
      <w:r w:rsidRPr="00D35840">
        <w:rPr>
          <w:rFonts w:ascii="Calibri" w:hAnsi="Calibri"/>
          <w:sz w:val="20"/>
          <w:szCs w:val="20"/>
        </w:rPr>
        <w:t>Un</w:t>
      </w:r>
      <w:r w:rsidR="00740040">
        <w:rPr>
          <w:rFonts w:ascii="Calibri" w:hAnsi="Calibri"/>
          <w:sz w:val="20"/>
          <w:szCs w:val="20"/>
        </w:rPr>
        <w:t xml:space="preserve"> bon de commande annuel sera émis en début d’année n en fonction de l’estimation des prestations à venir. </w:t>
      </w:r>
    </w:p>
    <w:p w14:paraId="219C517E" w14:textId="209BEB6B" w:rsid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17" w:name="_Toc222244198"/>
      <w:bookmarkEnd w:id="115"/>
      <w:r w:rsidRPr="00050F55">
        <w:rPr>
          <w:bCs w:val="0"/>
          <w:color w:val="683766"/>
          <w:sz w:val="22"/>
          <w:szCs w:val="22"/>
        </w:rPr>
        <w:t>Délais de paiement</w:t>
      </w:r>
      <w:bookmarkEnd w:id="117"/>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8" w:name="_Toc222244199"/>
      <w:r>
        <w:rPr>
          <w:bCs w:val="0"/>
          <w:color w:val="683766"/>
          <w:sz w:val="22"/>
          <w:szCs w:val="22"/>
        </w:rPr>
        <w:t>D</w:t>
      </w:r>
      <w:r w:rsidRPr="00050F55">
        <w:rPr>
          <w:bCs w:val="0"/>
          <w:color w:val="683766"/>
          <w:sz w:val="22"/>
          <w:szCs w:val="22"/>
        </w:rPr>
        <w:t>emandes de paiement</w:t>
      </w:r>
      <w:bookmarkEnd w:id="118"/>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DB091B">
      <w:pPr>
        <w:pStyle w:val="Paragraphedeliste"/>
        <w:numPr>
          <w:ilvl w:val="0"/>
          <w:numId w:val="25"/>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lastRenderedPageBreak/>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119" w:name="_Toc52783173"/>
      <w:r w:rsidRPr="00792077">
        <w:rPr>
          <w:rFonts w:ascii="Calibri" w:hAnsi="Calibri" w:cs="Calibri"/>
        </w:rPr>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DB091B">
      <w:pPr>
        <w:pStyle w:val="05ARTICLENiv1-Texte"/>
        <w:numPr>
          <w:ilvl w:val="0"/>
          <w:numId w:val="23"/>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DB091B">
      <w:pPr>
        <w:pStyle w:val="05ARTICLENiv1-Texte"/>
        <w:numPr>
          <w:ilvl w:val="1"/>
          <w:numId w:val="23"/>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DB091B">
      <w:pPr>
        <w:pStyle w:val="05ARTICLENiv1-Texte"/>
        <w:numPr>
          <w:ilvl w:val="1"/>
          <w:numId w:val="23"/>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DB091B">
      <w:pPr>
        <w:pStyle w:val="05ARTICLENiv1-Texte"/>
        <w:numPr>
          <w:ilvl w:val="0"/>
          <w:numId w:val="23"/>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DB091B">
      <w:pPr>
        <w:pStyle w:val="05ARTICLENiv1-Texte"/>
        <w:numPr>
          <w:ilvl w:val="0"/>
          <w:numId w:val="23"/>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DB091B">
      <w:pPr>
        <w:pStyle w:val="05ARTICLENiv1-Texte"/>
        <w:numPr>
          <w:ilvl w:val="1"/>
          <w:numId w:val="23"/>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DB091B">
      <w:pPr>
        <w:pStyle w:val="05ARTICLENiv1-Texte"/>
        <w:numPr>
          <w:ilvl w:val="1"/>
          <w:numId w:val="23"/>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119"/>
    </w:p>
    <w:p w14:paraId="7F136D29" w14:textId="77777777" w:rsidR="00FE6E66" w:rsidRPr="00050F55" w:rsidRDefault="00FE6E66" w:rsidP="00FE6E66">
      <w:pPr>
        <w:pStyle w:val="Titre2"/>
        <w:shd w:val="clear" w:color="auto" w:fill="auto"/>
        <w:spacing w:before="0" w:after="0"/>
        <w:ind w:left="1418" w:hanging="1418"/>
        <w:contextualSpacing/>
        <w:rPr>
          <w:bCs w:val="0"/>
          <w:color w:val="683766"/>
          <w:sz w:val="22"/>
          <w:szCs w:val="22"/>
        </w:rPr>
      </w:pPr>
      <w:bookmarkStart w:id="120" w:name="_Toc222244200"/>
      <w:r>
        <w:rPr>
          <w:bCs w:val="0"/>
          <w:color w:val="683766"/>
          <w:sz w:val="22"/>
          <w:szCs w:val="22"/>
        </w:rPr>
        <w:t>Règlement en cas de groupement d’opérateurs économiques et de sous-traitants ayant droit au paiement direct</w:t>
      </w:r>
      <w:bookmarkEnd w:id="120"/>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 xml:space="preserve">Quelle que soit la forme du groupement d’opérateurs économiques, le mandataire est </w:t>
      </w:r>
      <w:proofErr w:type="gramStart"/>
      <w:r w:rsidRPr="002C1F44">
        <w:rPr>
          <w:rFonts w:ascii="Calibri" w:hAnsi="Calibri"/>
          <w:b/>
          <w:bCs/>
          <w:sz w:val="20"/>
          <w:szCs w:val="20"/>
        </w:rPr>
        <w:t>seul</w:t>
      </w:r>
      <w:r w:rsidR="007B2217">
        <w:rPr>
          <w:rFonts w:ascii="Calibri" w:hAnsi="Calibri"/>
          <w:b/>
          <w:bCs/>
          <w:sz w:val="20"/>
          <w:szCs w:val="20"/>
        </w:rPr>
        <w:t xml:space="preserve"> </w:t>
      </w:r>
      <w:r w:rsidRPr="002C1F44">
        <w:rPr>
          <w:rFonts w:ascii="Calibri" w:hAnsi="Calibri"/>
          <w:b/>
          <w:bCs/>
          <w:sz w:val="20"/>
          <w:szCs w:val="20"/>
        </w:rPr>
        <w:t>habilité</w:t>
      </w:r>
      <w:proofErr w:type="gramEnd"/>
      <w:r w:rsidRPr="002C1F44">
        <w:rPr>
          <w:rFonts w:ascii="Calibri" w:hAnsi="Calibri"/>
          <w:b/>
          <w:bCs/>
          <w:sz w:val="20"/>
          <w:szCs w:val="20"/>
        </w:rPr>
        <w:t xml:space="preserve">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DB091B">
      <w:pPr>
        <w:pStyle w:val="Paragraphedeliste"/>
        <w:numPr>
          <w:ilvl w:val="0"/>
          <w:numId w:val="14"/>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DB091B">
      <w:pPr>
        <w:pStyle w:val="Paragraphedeliste"/>
        <w:numPr>
          <w:ilvl w:val="0"/>
          <w:numId w:val="14"/>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21" w:name="_Toc222244201"/>
      <w:r w:rsidRPr="00050F55">
        <w:rPr>
          <w:bCs w:val="0"/>
          <w:color w:val="683766"/>
          <w:sz w:val="22"/>
          <w:szCs w:val="22"/>
        </w:rPr>
        <w:t>Intérêts moratoires</w:t>
      </w:r>
      <w:bookmarkEnd w:id="121"/>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22" w:name="_Toc222244202"/>
      <w:r w:rsidRPr="00A637C4">
        <w:rPr>
          <w:bCs w:val="0"/>
          <w:color w:val="683766"/>
          <w:sz w:val="22"/>
          <w:szCs w:val="22"/>
        </w:rPr>
        <w:t>Mode de règlement</w:t>
      </w:r>
      <w:bookmarkEnd w:id="122"/>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123" w:name="_Toc52704466"/>
      <w:bookmarkStart w:id="124" w:name="_Toc125177968"/>
      <w:bookmarkStart w:id="125" w:name="_Toc129494749"/>
      <w:bookmarkStart w:id="126" w:name="_Toc129495194"/>
      <w:bookmarkStart w:id="127" w:name="_Toc129495262"/>
      <w:bookmarkStart w:id="128" w:name="_Toc129511097"/>
      <w:bookmarkStart w:id="129" w:name="_Toc131847294"/>
      <w:r w:rsidRPr="00FD51A5">
        <w:rPr>
          <w:rFonts w:ascii="Wingdings" w:eastAsia="Wingdings" w:hAnsi="Wingdings" w:cs="Wingdings"/>
        </w:rPr>
        <w:lastRenderedPageBreak/>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123"/>
    <w:bookmarkEnd w:id="124"/>
    <w:bookmarkEnd w:id="125"/>
    <w:bookmarkEnd w:id="126"/>
    <w:bookmarkEnd w:id="127"/>
    <w:bookmarkEnd w:id="128"/>
    <w:bookmarkEnd w:id="129"/>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lastRenderedPageBreak/>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30" w:name="_Toc356146846"/>
      <w:bookmarkStart w:id="131" w:name="_Toc12021249"/>
      <w:bookmarkStart w:id="132" w:name="_Toc222244203"/>
      <w:r w:rsidRPr="00FA727B">
        <w:rPr>
          <w:color w:val="FFFFFF" w:themeColor="background1"/>
        </w:rPr>
        <w:t>Utilisation des résultats – Propriété Intellectuelle</w:t>
      </w:r>
      <w:bookmarkEnd w:id="130"/>
      <w:bookmarkEnd w:id="131"/>
      <w:bookmarkEnd w:id="132"/>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DB091B">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DB091B">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DB091B">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DB091B">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DB091B">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DB091B">
      <w:pPr>
        <w:pStyle w:val="Paragraphedeliste"/>
        <w:numPr>
          <w:ilvl w:val="0"/>
          <w:numId w:val="17"/>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33" w:name="_Toc222244204"/>
      <w:r>
        <w:rPr>
          <w:color w:val="FFFFFF" w:themeColor="background1"/>
        </w:rPr>
        <w:t>Conditions d’exécution des prestations</w:t>
      </w:r>
      <w:r w:rsidR="007E2894">
        <w:rPr>
          <w:color w:val="FFFFFF" w:themeColor="background1"/>
        </w:rPr>
        <w:t xml:space="preserve"> et obligations du titulaire</w:t>
      </w:r>
      <w:bookmarkEnd w:id="133"/>
    </w:p>
    <w:p w14:paraId="462BA374" w14:textId="4DC3F01F" w:rsidR="00C72461" w:rsidRDefault="00C72461" w:rsidP="00D912BF">
      <w:pPr>
        <w:pStyle w:val="Titre2"/>
        <w:shd w:val="clear" w:color="auto" w:fill="auto"/>
        <w:spacing w:before="120" w:after="120"/>
        <w:ind w:left="1418" w:hanging="1418"/>
        <w:rPr>
          <w:bCs w:val="0"/>
          <w:color w:val="683766"/>
          <w:sz w:val="22"/>
          <w:szCs w:val="22"/>
        </w:rPr>
      </w:pPr>
      <w:bookmarkStart w:id="134" w:name="_Hlk184224881"/>
      <w:bookmarkStart w:id="135" w:name="_Toc222244205"/>
      <w:r>
        <w:rPr>
          <w:bCs w:val="0"/>
          <w:color w:val="683766"/>
          <w:sz w:val="22"/>
          <w:szCs w:val="22"/>
        </w:rPr>
        <w:t>Obligation de résultat</w:t>
      </w:r>
      <w:bookmarkEnd w:id="135"/>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spacing w:before="120" w:after="120"/>
        <w:ind w:left="1418" w:hanging="1418"/>
        <w:rPr>
          <w:bCs w:val="0"/>
          <w:color w:val="683766"/>
          <w:sz w:val="22"/>
          <w:szCs w:val="22"/>
        </w:rPr>
      </w:pPr>
      <w:bookmarkStart w:id="136" w:name="_Toc222244206"/>
      <w:r w:rsidRPr="00050F55">
        <w:rPr>
          <w:bCs w:val="0"/>
          <w:color w:val="683766"/>
          <w:sz w:val="22"/>
          <w:szCs w:val="22"/>
        </w:rPr>
        <w:t>Confidentialité</w:t>
      </w:r>
      <w:bookmarkEnd w:id="136"/>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w:t>
      </w:r>
      <w:r>
        <w:rPr>
          <w:rFonts w:ascii="Calibri" w:hAnsi="Calibri"/>
          <w:sz w:val="20"/>
          <w:szCs w:val="20"/>
        </w:rPr>
        <w:lastRenderedPageBreak/>
        <w:t xml:space="preserve">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757D70B0"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spacing w:before="120" w:after="120"/>
        <w:ind w:left="1418" w:hanging="1418"/>
        <w:rPr>
          <w:bCs w:val="0"/>
          <w:color w:val="683766"/>
          <w:sz w:val="22"/>
          <w:szCs w:val="22"/>
        </w:rPr>
      </w:pPr>
      <w:bookmarkStart w:id="137" w:name="_Toc222244207"/>
      <w:r w:rsidRPr="00050F55">
        <w:rPr>
          <w:bCs w:val="0"/>
          <w:color w:val="683766"/>
          <w:sz w:val="22"/>
          <w:szCs w:val="22"/>
        </w:rPr>
        <w:t>Secret professionnel</w:t>
      </w:r>
      <w:bookmarkEnd w:id="137"/>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spacing w:before="120" w:after="120"/>
        <w:ind w:left="1418" w:hanging="1418"/>
        <w:rPr>
          <w:bCs w:val="0"/>
          <w:color w:val="683766"/>
          <w:sz w:val="22"/>
          <w:szCs w:val="22"/>
        </w:rPr>
      </w:pPr>
      <w:bookmarkStart w:id="138" w:name="_Toc222244208"/>
      <w:r w:rsidRPr="00050F55">
        <w:rPr>
          <w:bCs w:val="0"/>
          <w:color w:val="683766"/>
          <w:sz w:val="22"/>
          <w:szCs w:val="22"/>
        </w:rPr>
        <w:t>Protection de la main d’œuvre et conditions de travail</w:t>
      </w:r>
      <w:bookmarkEnd w:id="138"/>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spacing w:before="120" w:after="120"/>
        <w:ind w:left="1418" w:hanging="1418"/>
        <w:rPr>
          <w:bCs w:val="0"/>
          <w:color w:val="683766"/>
          <w:sz w:val="22"/>
          <w:szCs w:val="22"/>
        </w:rPr>
      </w:pPr>
      <w:bookmarkStart w:id="139" w:name="_Toc222244209"/>
      <w:r w:rsidRPr="00340A6C">
        <w:rPr>
          <w:bCs w:val="0"/>
          <w:color w:val="683766"/>
          <w:sz w:val="22"/>
          <w:szCs w:val="22"/>
        </w:rPr>
        <w:t>Responsabilité du titulaire</w:t>
      </w:r>
      <w:bookmarkEnd w:id="139"/>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spacing w:before="120" w:after="120"/>
        <w:ind w:left="1418" w:hanging="1418"/>
        <w:rPr>
          <w:bCs w:val="0"/>
          <w:color w:val="683766"/>
          <w:sz w:val="22"/>
          <w:szCs w:val="22"/>
        </w:rPr>
      </w:pPr>
      <w:bookmarkStart w:id="140" w:name="_Toc222244210"/>
      <w:r>
        <w:rPr>
          <w:bCs w:val="0"/>
          <w:color w:val="683766"/>
          <w:sz w:val="22"/>
          <w:szCs w:val="22"/>
        </w:rPr>
        <w:t>Protection de l’environnement</w:t>
      </w:r>
      <w:bookmarkEnd w:id="140"/>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lastRenderedPageBreak/>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spacing w:before="120" w:after="120"/>
        <w:ind w:left="1418" w:hanging="1418"/>
        <w:jc w:val="both"/>
        <w:rPr>
          <w:bCs w:val="0"/>
          <w:color w:val="683766"/>
          <w:sz w:val="22"/>
          <w:szCs w:val="22"/>
        </w:rPr>
      </w:pPr>
      <w:bookmarkStart w:id="141" w:name="_Toc222244211"/>
      <w:r>
        <w:rPr>
          <w:bCs w:val="0"/>
          <w:color w:val="683766"/>
          <w:sz w:val="22"/>
          <w:szCs w:val="22"/>
        </w:rPr>
        <w:t>Procédure de maintien en condition de sécurité</w:t>
      </w:r>
      <w:bookmarkEnd w:id="141"/>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1EE13E5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55847C9B"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 xml:space="preserve">Le titulaire doit garantir que les correctifs de sécurité sont validés avant leur déploiement pour éviter toute régression des fonctions de sécurité. Chaque correctif doit être dédié à </w:t>
      </w:r>
      <w:r w:rsidR="00185B69" w:rsidRPr="008B0B67">
        <w:rPr>
          <w:rFonts w:ascii="Calibri" w:hAnsi="Calibri"/>
          <w:sz w:val="20"/>
          <w:szCs w:val="20"/>
        </w:rPr>
        <w:t>une vulnérabilité spécifique et validée</w:t>
      </w:r>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spacing w:before="120" w:after="120"/>
        <w:ind w:left="1418" w:hanging="1418"/>
        <w:jc w:val="both"/>
        <w:rPr>
          <w:bCs w:val="0"/>
          <w:color w:val="683766"/>
          <w:sz w:val="22"/>
          <w:szCs w:val="22"/>
        </w:rPr>
      </w:pPr>
      <w:bookmarkStart w:id="142" w:name="_Toc222244212"/>
      <w:r w:rsidRPr="00D71121">
        <w:rPr>
          <w:bCs w:val="0"/>
          <w:color w:val="683766"/>
          <w:sz w:val="22"/>
          <w:szCs w:val="22"/>
        </w:rPr>
        <w:t xml:space="preserve">Inventaire des </w:t>
      </w:r>
      <w:r w:rsidR="00D97CA6">
        <w:rPr>
          <w:bCs w:val="0"/>
          <w:color w:val="683766"/>
          <w:sz w:val="22"/>
          <w:szCs w:val="22"/>
        </w:rPr>
        <w:t>composants techniques et logiciels</w:t>
      </w:r>
      <w:bookmarkEnd w:id="142"/>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spacing w:before="120" w:after="120"/>
        <w:ind w:left="1418" w:hanging="1418"/>
        <w:rPr>
          <w:bCs w:val="0"/>
          <w:color w:val="683766"/>
          <w:sz w:val="22"/>
          <w:szCs w:val="22"/>
        </w:rPr>
      </w:pPr>
      <w:bookmarkStart w:id="143" w:name="_Toc222244213"/>
      <w:r w:rsidRPr="00740399">
        <w:rPr>
          <w:bCs w:val="0"/>
          <w:color w:val="683766"/>
          <w:sz w:val="22"/>
          <w:szCs w:val="22"/>
        </w:rPr>
        <w:t>Devoir de conseil</w:t>
      </w:r>
      <w:bookmarkEnd w:id="143"/>
      <w:r w:rsidRPr="00740399">
        <w:rPr>
          <w:bCs w:val="0"/>
          <w:color w:val="683766"/>
          <w:sz w:val="22"/>
          <w:szCs w:val="22"/>
        </w:rPr>
        <w:t xml:space="preserve"> </w:t>
      </w:r>
    </w:p>
    <w:p w14:paraId="77FDF93E" w14:textId="112F56D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spacing w:before="120" w:after="120"/>
        <w:ind w:left="1418" w:hanging="1418"/>
        <w:rPr>
          <w:bCs w:val="0"/>
          <w:color w:val="683766"/>
          <w:sz w:val="22"/>
          <w:szCs w:val="22"/>
        </w:rPr>
      </w:pPr>
      <w:bookmarkStart w:id="144" w:name="_Toc222244214"/>
      <w:r w:rsidRPr="00740399">
        <w:rPr>
          <w:bCs w:val="0"/>
          <w:color w:val="683766"/>
          <w:sz w:val="22"/>
          <w:szCs w:val="22"/>
        </w:rPr>
        <w:t>Mises à jour et nouvelles versions de logiciels – Documentation technique</w:t>
      </w:r>
      <w:bookmarkEnd w:id="144"/>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45" w:name="_Toc5114886"/>
      <w:bookmarkStart w:id="146" w:name="_Toc6412956"/>
      <w:bookmarkStart w:id="147" w:name="_Hlk184224930"/>
      <w:bookmarkStart w:id="148" w:name="_Toc222244215"/>
      <w:bookmarkEnd w:id="134"/>
      <w:r>
        <w:rPr>
          <w:color w:val="FFFFFF" w:themeColor="background1"/>
        </w:rPr>
        <w:t>Traitement et p</w:t>
      </w:r>
      <w:r w:rsidR="004475F6" w:rsidRPr="002336AB">
        <w:rPr>
          <w:color w:val="FFFFFF" w:themeColor="background1"/>
        </w:rPr>
        <w:t>rotection des données personnelles</w:t>
      </w:r>
      <w:bookmarkEnd w:id="145"/>
      <w:bookmarkEnd w:id="146"/>
      <w:bookmarkEnd w:id="148"/>
    </w:p>
    <w:bookmarkEnd w:id="147"/>
    <w:p w14:paraId="79602522" w14:textId="77777777" w:rsidR="00075C2F" w:rsidRPr="001467E1" w:rsidRDefault="00075C2F" w:rsidP="00075C2F">
      <w:pPr>
        <w:spacing w:before="120" w:after="120" w:line="240" w:lineRule="auto"/>
        <w:jc w:val="both"/>
        <w:rPr>
          <w:rFonts w:ascii="Calibri" w:hAnsi="Calibri"/>
          <w:sz w:val="20"/>
          <w:szCs w:val="20"/>
        </w:rPr>
      </w:pPr>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CCAG-TIC.</w:t>
      </w:r>
    </w:p>
    <w:p w14:paraId="787D7881" w14:textId="77777777" w:rsidR="00075C2F" w:rsidRPr="001467E1" w:rsidRDefault="00075C2F" w:rsidP="00075C2F">
      <w:pPr>
        <w:spacing w:before="120" w:after="120" w:line="240" w:lineRule="auto"/>
        <w:jc w:val="both"/>
        <w:rPr>
          <w:rFonts w:ascii="Calibri" w:hAnsi="Calibri"/>
          <w:sz w:val="20"/>
          <w:szCs w:val="20"/>
        </w:rPr>
      </w:pPr>
      <w:r w:rsidRPr="001467E1">
        <w:rPr>
          <w:rFonts w:ascii="Calibri" w:hAnsi="Calibri"/>
          <w:sz w:val="20"/>
          <w:szCs w:val="20"/>
        </w:rPr>
        <w:lastRenderedPageBreak/>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Pr>
          <w:rFonts w:ascii="Calibri" w:hAnsi="Calibri"/>
          <w:sz w:val="20"/>
          <w:szCs w:val="20"/>
        </w:rPr>
        <w:t>50</w:t>
      </w:r>
      <w:r w:rsidRPr="001467E1">
        <w:rPr>
          <w:rFonts w:ascii="Calibri" w:hAnsi="Calibri"/>
          <w:sz w:val="20"/>
          <w:szCs w:val="20"/>
        </w:rPr>
        <w:t xml:space="preserve"> du CCAG</w:t>
      </w:r>
      <w:r>
        <w:rPr>
          <w:rFonts w:ascii="Calibri" w:hAnsi="Calibri"/>
          <w:sz w:val="20"/>
          <w:szCs w:val="20"/>
        </w:rPr>
        <w:t>-TIC.</w:t>
      </w:r>
    </w:p>
    <w:p w14:paraId="0084EBB9" w14:textId="77777777" w:rsidR="00075C2F" w:rsidRDefault="00075C2F" w:rsidP="00075C2F">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0653B941" w14:textId="77777777" w:rsidR="00075C2F" w:rsidRPr="004D2E92" w:rsidRDefault="00075C2F" w:rsidP="00075C2F">
      <w:pPr>
        <w:pStyle w:val="Titre2"/>
        <w:shd w:val="clear" w:color="auto" w:fill="auto"/>
        <w:spacing w:before="120" w:after="120"/>
        <w:ind w:left="1418" w:hanging="1418"/>
        <w:jc w:val="both"/>
        <w:rPr>
          <w:bCs w:val="0"/>
          <w:color w:val="683766"/>
          <w:sz w:val="22"/>
          <w:szCs w:val="22"/>
        </w:rPr>
      </w:pPr>
      <w:bookmarkStart w:id="149" w:name="_Toc222244216"/>
      <w:r w:rsidRPr="004D2E92">
        <w:rPr>
          <w:bCs w:val="0"/>
          <w:color w:val="683766"/>
          <w:sz w:val="22"/>
          <w:szCs w:val="22"/>
        </w:rPr>
        <w:t>Traitements de données à caractère personnel nécessaires à la réalisation des prestations</w:t>
      </w:r>
      <w:bookmarkEnd w:id="149"/>
    </w:p>
    <w:p w14:paraId="54F6AA0F"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15E6F6AC"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5891EA51"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70D70A5A"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04B5123D"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3189653C" w14:textId="77777777" w:rsidR="00075C2F" w:rsidRPr="004D2E92" w:rsidRDefault="00075C2F" w:rsidP="00DB091B">
      <w:pPr>
        <w:numPr>
          <w:ilvl w:val="1"/>
          <w:numId w:val="32"/>
        </w:numPr>
        <w:spacing w:before="120" w:after="120" w:line="240" w:lineRule="auto"/>
        <w:jc w:val="both"/>
        <w:rPr>
          <w:rFonts w:ascii="Calibri" w:hAnsi="Calibri"/>
          <w:i/>
          <w:iCs/>
          <w:sz w:val="20"/>
          <w:szCs w:val="20"/>
        </w:rPr>
      </w:pPr>
      <w:r w:rsidRPr="004D2E92">
        <w:rPr>
          <w:rFonts w:ascii="Calibri" w:hAnsi="Calibri"/>
          <w:i/>
          <w:iCs/>
          <w:sz w:val="20"/>
          <w:szCs w:val="20"/>
        </w:rPr>
        <w:t xml:space="preserve">La </w:t>
      </w:r>
      <w:proofErr w:type="spellStart"/>
      <w:r w:rsidRPr="004D2E92">
        <w:rPr>
          <w:rFonts w:ascii="Calibri" w:hAnsi="Calibri"/>
          <w:i/>
          <w:iCs/>
          <w:sz w:val="20"/>
          <w:szCs w:val="20"/>
        </w:rPr>
        <w:t>pseudonymisation</w:t>
      </w:r>
      <w:proofErr w:type="spellEnd"/>
      <w:r w:rsidRPr="004D2E92">
        <w:rPr>
          <w:rFonts w:ascii="Calibri" w:hAnsi="Calibri"/>
          <w:i/>
          <w:iCs/>
          <w:sz w:val="20"/>
          <w:szCs w:val="20"/>
        </w:rPr>
        <w:t xml:space="preserve"> et le chiffrement des données à caractère personnel ;</w:t>
      </w:r>
    </w:p>
    <w:p w14:paraId="7EFD75AD" w14:textId="77777777" w:rsidR="00075C2F" w:rsidRPr="004D2E92" w:rsidRDefault="00075C2F" w:rsidP="00DB091B">
      <w:pPr>
        <w:numPr>
          <w:ilvl w:val="1"/>
          <w:numId w:val="32"/>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5C98679B" w14:textId="77777777" w:rsidR="00075C2F" w:rsidRPr="004D2E92" w:rsidRDefault="00075C2F" w:rsidP="00DB091B">
      <w:pPr>
        <w:numPr>
          <w:ilvl w:val="1"/>
          <w:numId w:val="32"/>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5DCB8597" w14:textId="77777777" w:rsidR="00075C2F" w:rsidRPr="004D2E92" w:rsidRDefault="00075C2F" w:rsidP="00DB091B">
      <w:pPr>
        <w:numPr>
          <w:ilvl w:val="1"/>
          <w:numId w:val="32"/>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63D0DB5A" w14:textId="77777777" w:rsidR="00075C2F" w:rsidRPr="004D2E92" w:rsidRDefault="00075C2F" w:rsidP="00075C2F">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5E7C024E"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567158C7"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5567C074"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084F0D24"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5BB7E03D"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 xml:space="preserve">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w:t>
      </w:r>
      <w:r w:rsidRPr="004D2E92">
        <w:rPr>
          <w:rFonts w:ascii="Calibri" w:hAnsi="Calibri"/>
          <w:sz w:val="20"/>
          <w:szCs w:val="20"/>
        </w:rPr>
        <w:lastRenderedPageBreak/>
        <w:t>justifient une analyse plus approfondie, le Sous-traitant devra, en accord avec le CNM, rendre disponibles les installations qu’il utilise pour le traitement des données personnelles sous-traitées ;</w:t>
      </w:r>
    </w:p>
    <w:p w14:paraId="38226CE9"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1BB8FDF0"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 xml:space="preserve">Le CNM utilisera des moyens commercialement raisonnables pour l’organisation de tout audit de sorte à minimiser tout impact sur les activités normales du Sous-traitant ; </w:t>
      </w:r>
    </w:p>
    <w:p w14:paraId="22F2AB1E"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529B69F3"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2F3C7721"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3DB2FD63"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 xml:space="preserve">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w:t>
      </w:r>
      <w:proofErr w:type="gramStart"/>
      <w:r w:rsidRPr="004D2E92">
        <w:rPr>
          <w:rFonts w:ascii="Calibri" w:hAnsi="Calibri"/>
          <w:i/>
          <w:iCs/>
          <w:sz w:val="20"/>
          <w:szCs w:val="20"/>
        </w:rPr>
        <w:t>un délai de 5 jours ouvrés</w:t>
      </w:r>
      <w:proofErr w:type="gramEnd"/>
      <w:r w:rsidRPr="004D2E92">
        <w:rPr>
          <w:rFonts w:ascii="Calibri" w:hAnsi="Calibri"/>
          <w:i/>
          <w:iCs/>
          <w:sz w:val="20"/>
          <w:szCs w:val="20"/>
        </w:rPr>
        <w:t xml:space="preserve"> après réception ;</w:t>
      </w:r>
    </w:p>
    <w:p w14:paraId="16AF94FC"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68F34F1A" w14:textId="77777777" w:rsidR="00075C2F" w:rsidRPr="004D2E92" w:rsidRDefault="00075C2F" w:rsidP="00DB091B">
      <w:pPr>
        <w:numPr>
          <w:ilvl w:val="1"/>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592E8431" w14:textId="77777777" w:rsidR="00075C2F" w:rsidRPr="004D2E92" w:rsidRDefault="00075C2F" w:rsidP="00DB091B">
      <w:pPr>
        <w:numPr>
          <w:ilvl w:val="1"/>
          <w:numId w:val="33"/>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68922D48" w14:textId="77777777" w:rsidR="00075C2F" w:rsidRPr="004D2E92" w:rsidRDefault="00075C2F" w:rsidP="00DB091B">
      <w:pPr>
        <w:numPr>
          <w:ilvl w:val="1"/>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4AE0090F" w14:textId="77777777" w:rsidR="00075C2F" w:rsidRPr="004D2E92" w:rsidRDefault="00075C2F" w:rsidP="00DB091B">
      <w:pPr>
        <w:numPr>
          <w:ilvl w:val="1"/>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0FC85F7E" w14:textId="77777777" w:rsidR="00075C2F" w:rsidRPr="004D2E92" w:rsidRDefault="00075C2F" w:rsidP="00DB091B">
      <w:pPr>
        <w:numPr>
          <w:ilvl w:val="0"/>
          <w:numId w:val="31"/>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15040C7D"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575FD53A"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1283E64B" w14:textId="77777777" w:rsidR="00075C2F" w:rsidRPr="004D2E92" w:rsidRDefault="00075C2F" w:rsidP="00075C2F">
      <w:pPr>
        <w:pStyle w:val="Titre2"/>
        <w:shd w:val="clear" w:color="auto" w:fill="auto"/>
        <w:spacing w:before="120" w:after="120"/>
        <w:ind w:left="1418" w:hanging="1418"/>
        <w:jc w:val="both"/>
        <w:rPr>
          <w:bCs w:val="0"/>
          <w:color w:val="683766"/>
          <w:sz w:val="22"/>
          <w:szCs w:val="22"/>
        </w:rPr>
      </w:pPr>
      <w:bookmarkStart w:id="150" w:name="_Toc222244217"/>
      <w:r w:rsidRPr="004D2E92">
        <w:rPr>
          <w:bCs w:val="0"/>
          <w:color w:val="683766"/>
          <w:sz w:val="22"/>
          <w:szCs w:val="22"/>
        </w:rPr>
        <w:t>Suivi des relations contractuelles</w:t>
      </w:r>
      <w:bookmarkEnd w:id="150"/>
    </w:p>
    <w:p w14:paraId="69268503"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05C9C605"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lastRenderedPageBreak/>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28BE5FF2"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2A738E3F"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2E24DDBB" w14:textId="77777777" w:rsidR="00075C2F" w:rsidRPr="004D2E92" w:rsidRDefault="00075C2F" w:rsidP="00DB091B">
      <w:pPr>
        <w:numPr>
          <w:ilvl w:val="0"/>
          <w:numId w:val="34"/>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575B166A" w14:textId="77777777" w:rsidR="00075C2F" w:rsidRPr="004D2E92" w:rsidRDefault="00075C2F" w:rsidP="00DB091B">
      <w:pPr>
        <w:numPr>
          <w:ilvl w:val="1"/>
          <w:numId w:val="34"/>
        </w:numPr>
        <w:spacing w:before="120" w:after="120" w:line="240" w:lineRule="auto"/>
        <w:jc w:val="both"/>
        <w:rPr>
          <w:rFonts w:ascii="Calibri" w:hAnsi="Calibri"/>
          <w:b/>
          <w:bCs/>
          <w:sz w:val="20"/>
          <w:szCs w:val="20"/>
          <w:u w:val="single"/>
        </w:rPr>
      </w:pPr>
      <w:proofErr w:type="gramStart"/>
      <w:r w:rsidRPr="004D2E92">
        <w:rPr>
          <w:rFonts w:ascii="Calibri" w:hAnsi="Calibri"/>
          <w:sz w:val="20"/>
          <w:szCs w:val="20"/>
        </w:rPr>
        <w:t>par</w:t>
      </w:r>
      <w:proofErr w:type="gramEnd"/>
      <w:r w:rsidRPr="004D2E92">
        <w:rPr>
          <w:rFonts w:ascii="Calibri" w:hAnsi="Calibri"/>
          <w:sz w:val="20"/>
          <w:szCs w:val="20"/>
        </w:rPr>
        <w:t xml:space="preserve"> courrier électronique à : </w:t>
      </w:r>
      <w:r w:rsidRPr="004D2E92">
        <w:rPr>
          <w:rFonts w:ascii="Calibri" w:hAnsi="Calibri"/>
          <w:b/>
          <w:bCs/>
          <w:sz w:val="20"/>
          <w:szCs w:val="20"/>
          <w:u w:val="single"/>
        </w:rPr>
        <w:t>contact-dpo@cnm.fr</w:t>
      </w:r>
    </w:p>
    <w:p w14:paraId="5C77C549" w14:textId="77777777" w:rsidR="00075C2F" w:rsidRPr="004D2E92" w:rsidRDefault="00075C2F" w:rsidP="00DB091B">
      <w:pPr>
        <w:numPr>
          <w:ilvl w:val="1"/>
          <w:numId w:val="34"/>
        </w:numPr>
        <w:spacing w:before="120" w:after="120" w:line="240" w:lineRule="auto"/>
        <w:jc w:val="both"/>
        <w:rPr>
          <w:rFonts w:ascii="Calibri" w:hAnsi="Calibri"/>
          <w:sz w:val="20"/>
          <w:szCs w:val="20"/>
        </w:rPr>
      </w:pPr>
      <w:proofErr w:type="gramStart"/>
      <w:r w:rsidRPr="004D2E92">
        <w:rPr>
          <w:rFonts w:ascii="Calibri" w:hAnsi="Calibri"/>
          <w:sz w:val="20"/>
          <w:szCs w:val="20"/>
        </w:rPr>
        <w:t>par</w:t>
      </w:r>
      <w:proofErr w:type="gramEnd"/>
      <w:r w:rsidRPr="004D2E92">
        <w:rPr>
          <w:rFonts w:ascii="Calibri" w:hAnsi="Calibri"/>
          <w:sz w:val="20"/>
          <w:szCs w:val="20"/>
        </w:rPr>
        <w:t xml:space="preserve"> courrier postal à l’attention du Délégué à la protection des données à adresser au siège : 151 – 157 avenue de France 75013 Paris, France</w:t>
      </w:r>
    </w:p>
    <w:p w14:paraId="79D8671E" w14:textId="77777777" w:rsidR="00075C2F" w:rsidRPr="004D2E92" w:rsidRDefault="00075C2F" w:rsidP="00DB091B">
      <w:pPr>
        <w:numPr>
          <w:ilvl w:val="0"/>
          <w:numId w:val="34"/>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7DF8F5C9" w14:textId="77777777" w:rsidR="00075C2F" w:rsidRPr="004D2E92" w:rsidRDefault="00075C2F" w:rsidP="00DB091B">
      <w:pPr>
        <w:numPr>
          <w:ilvl w:val="1"/>
          <w:numId w:val="34"/>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52FA2504" w14:textId="77777777" w:rsidR="00075C2F" w:rsidRPr="004D2E92" w:rsidRDefault="00075C2F" w:rsidP="00DB091B">
      <w:pPr>
        <w:numPr>
          <w:ilvl w:val="1"/>
          <w:numId w:val="34"/>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616AF42D"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5F264780"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5A91DB94"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28A1B40E" w14:textId="77777777" w:rsidR="00075C2F" w:rsidRPr="004D2E92" w:rsidRDefault="00075C2F" w:rsidP="00DB091B">
      <w:pPr>
        <w:numPr>
          <w:ilvl w:val="0"/>
          <w:numId w:val="34"/>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5E853727" w14:textId="77777777" w:rsidR="00075C2F" w:rsidRPr="004D2E92" w:rsidRDefault="00075C2F" w:rsidP="00DB091B">
      <w:pPr>
        <w:numPr>
          <w:ilvl w:val="0"/>
          <w:numId w:val="34"/>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37A1CA9B" w14:textId="77777777" w:rsidR="00075C2F" w:rsidRPr="004D2E92" w:rsidRDefault="00075C2F" w:rsidP="00075C2F">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54E66450" w14:textId="77777777" w:rsidR="00075C2F" w:rsidRPr="004D2E92" w:rsidRDefault="00075C2F" w:rsidP="00075C2F">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25A34042" w14:textId="77777777" w:rsidR="00075C2F" w:rsidRPr="00715A63" w:rsidRDefault="00075C2F" w:rsidP="00075C2F">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au présent article et aux annexes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bookmarkStart w:id="151" w:name="_Toc222244218"/>
      <w:r w:rsidRPr="00622EC0">
        <w:rPr>
          <w:color w:val="FFFFFF" w:themeColor="background1"/>
        </w:rPr>
        <w:t>Pénalités</w:t>
      </w:r>
      <w:bookmarkEnd w:id="151"/>
    </w:p>
    <w:p w14:paraId="49A009CD" w14:textId="781F6FB8" w:rsidR="001D4321" w:rsidRDefault="001D4321" w:rsidP="005F5C92">
      <w:pPr>
        <w:spacing w:before="120" w:after="120" w:line="240" w:lineRule="auto"/>
        <w:jc w:val="both"/>
        <w:rPr>
          <w:rFonts w:ascii="Calibri" w:hAnsi="Calibri"/>
          <w:sz w:val="20"/>
          <w:szCs w:val="20"/>
        </w:rPr>
      </w:pPr>
      <w:bookmarkStart w:id="152"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53" w:name="_Toc222244219"/>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53"/>
    </w:p>
    <w:p w14:paraId="0C443C0F" w14:textId="1025B27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En cas de non-respect par le titulaire du délai d’exécution des prestations indiqués dans le CCTP</w:t>
      </w:r>
      <w:r w:rsidR="00185B69">
        <w:rPr>
          <w:rFonts w:ascii="Calibri" w:hAnsi="Calibri"/>
          <w:sz w:val="20"/>
          <w:szCs w:val="20"/>
        </w:rPr>
        <w:t xml:space="preserve"> ou dans tout autre document,</w:t>
      </w:r>
      <w:r w:rsidRPr="00740399">
        <w:rPr>
          <w:rFonts w:ascii="Calibri" w:hAnsi="Calibri"/>
          <w:sz w:val="20"/>
          <w:szCs w:val="20"/>
        </w:rPr>
        <w:t xml:space="preserve"> il sera appliqué une pénalité de </w:t>
      </w:r>
      <w:r w:rsidR="46CAE98B" w:rsidRPr="46CAE98B">
        <w:rPr>
          <w:rFonts w:ascii="Calibri" w:hAnsi="Calibri"/>
          <w:sz w:val="20"/>
          <w:szCs w:val="20"/>
        </w:rPr>
        <w:t xml:space="preserve">0,2% du montant de la prestation concernée par jour de retard, </w:t>
      </w:r>
      <w:r w:rsidR="46CAE98B" w:rsidRPr="46CAE98B">
        <w:rPr>
          <w:rFonts w:ascii="Calibri" w:hAnsi="Calibri"/>
          <w:sz w:val="20"/>
          <w:szCs w:val="20"/>
        </w:rPr>
        <w:lastRenderedPageBreak/>
        <w:t xml:space="preserve">plafonnée à 5% du montant </w:t>
      </w:r>
      <w:r w:rsidR="00185B69">
        <w:rPr>
          <w:rFonts w:ascii="Calibri" w:hAnsi="Calibri"/>
          <w:sz w:val="20"/>
          <w:szCs w:val="20"/>
        </w:rPr>
        <w:t xml:space="preserve">total </w:t>
      </w:r>
      <w:r w:rsidR="46CAE98B" w:rsidRPr="46CAE98B">
        <w:rPr>
          <w:rFonts w:ascii="Calibri" w:hAnsi="Calibri"/>
          <w:sz w:val="20"/>
          <w:szCs w:val="20"/>
        </w:rPr>
        <w:t>de la prestation</w:t>
      </w:r>
      <w:r w:rsidRPr="00740399">
        <w:rPr>
          <w:rFonts w:ascii="Calibri" w:hAnsi="Calibri"/>
          <w:sz w:val="20"/>
          <w:szCs w:val="20"/>
        </w:rPr>
        <w:t>, sans mise en demeure préalable, sauf motif reconnu comme valable par le</w:t>
      </w:r>
      <w:r>
        <w:rPr>
          <w:rFonts w:ascii="Calibri" w:hAnsi="Calibri"/>
          <w:sz w:val="20"/>
          <w:szCs w:val="20"/>
        </w:rPr>
        <w:t xml:space="preserve"> CNM. </w:t>
      </w:r>
    </w:p>
    <w:p w14:paraId="30C0B21D" w14:textId="1EA31685"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 remise des documents techniques prévus au présent document et au CCTP, il sera appliqué une pénalité de </w:t>
      </w:r>
      <w:r w:rsidR="00185B69">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54" w:name="_Toc222244220"/>
      <w:r w:rsidRPr="00740399">
        <w:rPr>
          <w:bCs w:val="0"/>
          <w:color w:val="683766"/>
          <w:sz w:val="22"/>
          <w:szCs w:val="22"/>
        </w:rPr>
        <w:t>Pénalités pour indisponibilité</w:t>
      </w:r>
      <w:bookmarkEnd w:id="154"/>
      <w:r w:rsidRPr="00740399">
        <w:rPr>
          <w:bCs w:val="0"/>
          <w:color w:val="683766"/>
          <w:sz w:val="22"/>
          <w:szCs w:val="22"/>
        </w:rPr>
        <w:t xml:space="preserve"> </w:t>
      </w:r>
    </w:p>
    <w:p w14:paraId="02450A07" w14:textId="16038951"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w:t>
      </w:r>
      <w:r w:rsidR="00185B69">
        <w:rPr>
          <w:sz w:val="20"/>
          <w:szCs w:val="20"/>
        </w:rPr>
        <w:t>3.2</w:t>
      </w:r>
      <w:r w:rsidR="00AF3679">
        <w:rPr>
          <w:sz w:val="20"/>
          <w:szCs w:val="20"/>
        </w:rPr>
        <w:t xml:space="preserve">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6D2C489B" w:rsidR="00740399" w:rsidRPr="00740399" w:rsidRDefault="00740399" w:rsidP="00DB091B">
      <w:pPr>
        <w:pStyle w:val="Paragraphedeliste"/>
        <w:numPr>
          <w:ilvl w:val="0"/>
          <w:numId w:val="17"/>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DB091B">
      <w:pPr>
        <w:pStyle w:val="Paragraphedeliste"/>
        <w:numPr>
          <w:ilvl w:val="0"/>
          <w:numId w:val="17"/>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2C1D1C40" w:rsidR="00740399" w:rsidRPr="00740399" w:rsidRDefault="00740399" w:rsidP="00DB091B">
      <w:pPr>
        <w:pStyle w:val="Paragraphedeliste"/>
        <w:numPr>
          <w:ilvl w:val="0"/>
          <w:numId w:val="17"/>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mineur</w:t>
      </w:r>
      <w:r w:rsidR="00B27734">
        <w:rPr>
          <w:sz w:val="20"/>
          <w:szCs w:val="20"/>
        </w:rPr>
        <w:t xml:space="preserve"> </w:t>
      </w:r>
      <w:r w:rsidR="70CE0719" w:rsidRPr="70CE0719">
        <w:rPr>
          <w:sz w:val="20"/>
          <w:szCs w:val="20"/>
        </w:rPr>
        <w:t>;</w:t>
      </w:r>
    </w:p>
    <w:p w14:paraId="09C8C21B" w14:textId="2A263952" w:rsidR="70CE0719" w:rsidRDefault="70CE0719" w:rsidP="00DB091B">
      <w:pPr>
        <w:pStyle w:val="Paragraphedeliste"/>
        <w:numPr>
          <w:ilvl w:val="0"/>
          <w:numId w:val="17"/>
        </w:numPr>
        <w:spacing w:before="120" w:after="120"/>
        <w:ind w:left="714" w:hanging="357"/>
        <w:contextualSpacing w:val="0"/>
        <w:jc w:val="both"/>
        <w:rPr>
          <w:sz w:val="20"/>
          <w:szCs w:val="20"/>
        </w:rPr>
      </w:pPr>
      <w:r w:rsidRPr="70CE0719">
        <w:rPr>
          <w:sz w:val="20"/>
          <w:szCs w:val="20"/>
        </w:rPr>
        <w:t xml:space="preserve">À une pénalité </w:t>
      </w:r>
      <w:r w:rsidR="00B27734">
        <w:rPr>
          <w:sz w:val="20"/>
          <w:szCs w:val="20"/>
        </w:rPr>
        <w:t>journalière</w:t>
      </w:r>
      <w:r w:rsidRPr="70CE0719">
        <w:rPr>
          <w:sz w:val="20"/>
          <w:szCs w:val="20"/>
        </w:rPr>
        <w:t xml:space="preserv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55" w:name="_Toc222244221"/>
      <w:r w:rsidRPr="00740399">
        <w:rPr>
          <w:bCs w:val="0"/>
          <w:color w:val="683766"/>
          <w:sz w:val="22"/>
          <w:szCs w:val="22"/>
        </w:rPr>
        <w:t>Pénalités relatives à la réversibilité</w:t>
      </w:r>
      <w:bookmarkEnd w:id="155"/>
      <w:r w:rsidRPr="00740399">
        <w:rPr>
          <w:bCs w:val="0"/>
          <w:color w:val="683766"/>
          <w:sz w:val="22"/>
          <w:szCs w:val="22"/>
        </w:rPr>
        <w:t xml:space="preserve"> </w:t>
      </w:r>
    </w:p>
    <w:p w14:paraId="66D67EB6" w14:textId="1D334502"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56" w:name="_Toc222244222"/>
      <w:r>
        <w:rPr>
          <w:bCs w:val="0"/>
          <w:color w:val="683766"/>
          <w:sz w:val="22"/>
          <w:szCs w:val="22"/>
        </w:rPr>
        <w:t>Pénalités pour non-respect des obligations en matière de lutte contre le travail dissimulé</w:t>
      </w:r>
      <w:bookmarkEnd w:id="156"/>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57" w:name="_Toc222244223"/>
      <w:r w:rsidRPr="00050F55">
        <w:rPr>
          <w:bCs w:val="0"/>
          <w:color w:val="683766"/>
          <w:sz w:val="22"/>
          <w:szCs w:val="22"/>
        </w:rPr>
        <w:t>Autres pénalités</w:t>
      </w:r>
      <w:bookmarkEnd w:id="157"/>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DB091B">
      <w:pPr>
        <w:pStyle w:val="Paragraphedeliste"/>
        <w:numPr>
          <w:ilvl w:val="0"/>
          <w:numId w:val="15"/>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DB091B">
      <w:pPr>
        <w:pStyle w:val="Paragraphedeliste"/>
        <w:numPr>
          <w:ilvl w:val="0"/>
          <w:numId w:val="15"/>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DB091B">
      <w:pPr>
        <w:pStyle w:val="Paragraphedeliste"/>
        <w:numPr>
          <w:ilvl w:val="0"/>
          <w:numId w:val="15"/>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58" w:name="_Toc222244224"/>
      <w:bookmarkEnd w:id="152"/>
      <w:r>
        <w:rPr>
          <w:color w:val="FFFFFF" w:themeColor="background1"/>
        </w:rPr>
        <w:lastRenderedPageBreak/>
        <w:t>Constatation de l’exécution des prestations</w:t>
      </w:r>
      <w:bookmarkEnd w:id="158"/>
    </w:p>
    <w:p w14:paraId="1948BE6C" w14:textId="68561A14" w:rsidR="00E51F54" w:rsidRPr="00C96534" w:rsidRDefault="00E51F54" w:rsidP="00C96534">
      <w:pPr>
        <w:pStyle w:val="Titre2"/>
        <w:shd w:val="clear" w:color="auto" w:fill="auto"/>
        <w:contextualSpacing/>
        <w:rPr>
          <w:bCs w:val="0"/>
          <w:color w:val="683766"/>
          <w:sz w:val="22"/>
          <w:szCs w:val="22"/>
        </w:rPr>
      </w:pPr>
      <w:bookmarkStart w:id="159" w:name="_Toc82447959"/>
      <w:bookmarkStart w:id="160" w:name="_Hlk184224966"/>
      <w:bookmarkStart w:id="161" w:name="_Toc222244225"/>
      <w:r w:rsidRPr="00C96534">
        <w:rPr>
          <w:bCs w:val="0"/>
          <w:color w:val="683766"/>
          <w:sz w:val="22"/>
          <w:szCs w:val="22"/>
        </w:rPr>
        <w:t>Installation et mise en ordre de marche</w:t>
      </w:r>
      <w:bookmarkEnd w:id="159"/>
      <w:bookmarkEnd w:id="161"/>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62" w:name="_Toc82447960"/>
      <w:bookmarkStart w:id="163" w:name="_Toc222244226"/>
      <w:r w:rsidRPr="00C96534">
        <w:rPr>
          <w:bCs w:val="0"/>
          <w:color w:val="683766"/>
          <w:sz w:val="22"/>
          <w:szCs w:val="22"/>
        </w:rPr>
        <w:t>Modalités des opérations de vérification</w:t>
      </w:r>
      <w:bookmarkEnd w:id="162"/>
      <w:bookmarkEnd w:id="163"/>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DB091B">
      <w:pPr>
        <w:pStyle w:val="Paragraphedeliste"/>
        <w:numPr>
          <w:ilvl w:val="0"/>
          <w:numId w:val="26"/>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0050AEC6" w:rsidR="00E51F54" w:rsidRPr="00C96534" w:rsidRDefault="00E51F54" w:rsidP="00DB091B">
      <w:pPr>
        <w:pStyle w:val="Paragraphedeliste"/>
        <w:numPr>
          <w:ilvl w:val="0"/>
          <w:numId w:val="26"/>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4FE4C38" w:rsidR="00E51F54" w:rsidRPr="00C96534" w:rsidRDefault="00E51F54" w:rsidP="00DB091B">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64" w:name="_Toc82447961"/>
      <w:bookmarkStart w:id="165" w:name="_Toc222244227"/>
      <w:bookmarkEnd w:id="160"/>
      <w:r w:rsidRPr="00C96534">
        <w:rPr>
          <w:bCs w:val="0"/>
          <w:color w:val="683766"/>
          <w:sz w:val="22"/>
          <w:szCs w:val="22"/>
        </w:rPr>
        <w:t>Vérifications quantitatives</w:t>
      </w:r>
      <w:bookmarkEnd w:id="164"/>
      <w:bookmarkEnd w:id="165"/>
    </w:p>
    <w:p w14:paraId="2EF212FC" w14:textId="25A30BBC"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66" w:name="_Toc82447962"/>
      <w:bookmarkStart w:id="167" w:name="_Toc222244228"/>
      <w:r w:rsidRPr="00C96534">
        <w:rPr>
          <w:bCs w:val="0"/>
          <w:color w:val="683766"/>
          <w:sz w:val="22"/>
          <w:szCs w:val="22"/>
        </w:rPr>
        <w:t>Vérifications qualitatives</w:t>
      </w:r>
      <w:bookmarkEnd w:id="166"/>
      <w:bookmarkEnd w:id="167"/>
    </w:p>
    <w:p w14:paraId="0185AE60" w14:textId="0DFC295D"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1DCB7AB4" w:rsidR="0033462D"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402D9814" w14:textId="77777777" w:rsidR="00185B69" w:rsidRPr="00C96534" w:rsidRDefault="00185B69" w:rsidP="00185B69">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68" w:name="_Toc82447963"/>
      <w:bookmarkStart w:id="169" w:name="_Toc222244229"/>
      <w:r w:rsidRPr="00C96534">
        <w:rPr>
          <w:bCs w:val="0"/>
          <w:color w:val="683766"/>
          <w:sz w:val="22"/>
          <w:szCs w:val="22"/>
        </w:rPr>
        <w:t>Décision après vérification</w:t>
      </w:r>
      <w:bookmarkEnd w:id="168"/>
      <w:bookmarkEnd w:id="169"/>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63460F09"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50F07DC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37DF52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7E40756C"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70" w:name="_Toc222244230"/>
      <w:r w:rsidRPr="00622EC0">
        <w:rPr>
          <w:color w:val="FFFFFF" w:themeColor="background1"/>
        </w:rPr>
        <w:lastRenderedPageBreak/>
        <w:t>Garantie</w:t>
      </w:r>
      <w:bookmarkEnd w:id="170"/>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28991D7C" w:rsidR="00C96534" w:rsidRPr="00C96534" w:rsidRDefault="00C96534" w:rsidP="00C96534">
      <w:pPr>
        <w:pStyle w:val="Titre1"/>
        <w:shd w:val="clear" w:color="auto" w:fill="DC8C00"/>
        <w:contextualSpacing/>
        <w:rPr>
          <w:color w:val="FFFFFF" w:themeColor="background1"/>
        </w:rPr>
      </w:pPr>
      <w:bookmarkStart w:id="171" w:name="_Toc82447966"/>
      <w:bookmarkStart w:id="172" w:name="_Hlk85188016"/>
      <w:r w:rsidRPr="00C96534">
        <w:rPr>
          <w:color w:val="FFFFFF" w:themeColor="background1"/>
        </w:rPr>
        <w:t xml:space="preserve"> </w:t>
      </w:r>
      <w:bookmarkStart w:id="173" w:name="_Toc222244231"/>
      <w:r w:rsidR="006A7B60" w:rsidRPr="00C96534">
        <w:rPr>
          <w:color w:val="FFFFFF" w:themeColor="background1"/>
        </w:rPr>
        <w:t>maintenance des prestations</w:t>
      </w:r>
      <w:bookmarkEnd w:id="171"/>
      <w:bookmarkEnd w:id="173"/>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6E9592B9" w14:textId="4DFCF8B4" w:rsidR="005C2052" w:rsidRPr="00E46A4A" w:rsidRDefault="005C2052" w:rsidP="005C2052">
      <w:pPr>
        <w:pStyle w:val="Titre1"/>
        <w:shd w:val="clear" w:color="auto" w:fill="DC8C00"/>
        <w:contextualSpacing/>
        <w:rPr>
          <w:color w:val="FFFFFF" w:themeColor="background1"/>
        </w:rPr>
      </w:pPr>
      <w:bookmarkStart w:id="174" w:name="_Toc222244232"/>
      <w:r w:rsidRPr="00622EC0">
        <w:rPr>
          <w:color w:val="FFFFFF" w:themeColor="background1"/>
        </w:rPr>
        <w:t>R</w:t>
      </w:r>
      <w:r>
        <w:rPr>
          <w:color w:val="FFFFFF" w:themeColor="background1"/>
        </w:rPr>
        <w:t>éversibilité</w:t>
      </w:r>
      <w:bookmarkEnd w:id="174"/>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 xml:space="preserve">documents et données sous un format exploitable (xml, </w:t>
      </w:r>
      <w:proofErr w:type="spellStart"/>
      <w:r w:rsidR="005C2052" w:rsidRPr="005C2052">
        <w:rPr>
          <w:sz w:val="20"/>
          <w:szCs w:val="20"/>
          <w:lang w:eastAsia="fr-FR"/>
        </w:rPr>
        <w:t>Json</w:t>
      </w:r>
      <w:proofErr w:type="spellEnd"/>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346F901A" w14:textId="77777777" w:rsidR="00FF069C" w:rsidRPr="00FF069C"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1511EFA7" w14:textId="36F80C5D" w:rsidR="00D72C23" w:rsidRPr="00C96534" w:rsidRDefault="00FF069C" w:rsidP="00FF069C">
      <w:pPr>
        <w:spacing w:before="120" w:after="120"/>
        <w:jc w:val="both"/>
        <w:rPr>
          <w:sz w:val="20"/>
          <w:szCs w:val="20"/>
          <w:lang w:eastAsia="fr-FR"/>
        </w:rPr>
      </w:pPr>
      <w:r w:rsidRPr="00FF069C">
        <w:rPr>
          <w:sz w:val="20"/>
          <w:szCs w:val="20"/>
          <w:lang w:eastAsia="fr-FR"/>
        </w:rPr>
        <w:t> </w:t>
      </w:r>
    </w:p>
    <w:p w14:paraId="72482506" w14:textId="111869A7" w:rsidR="000A7FA7" w:rsidRPr="00E46A4A" w:rsidRDefault="00407E19" w:rsidP="00E46A4A">
      <w:pPr>
        <w:pStyle w:val="Titre1"/>
        <w:shd w:val="clear" w:color="auto" w:fill="DC8C00"/>
        <w:contextualSpacing/>
        <w:rPr>
          <w:color w:val="FFFFFF" w:themeColor="background1"/>
        </w:rPr>
      </w:pPr>
      <w:bookmarkStart w:id="175" w:name="_Toc222244233"/>
      <w:bookmarkEnd w:id="172"/>
      <w:r w:rsidRPr="00622EC0">
        <w:rPr>
          <w:color w:val="FFFFFF" w:themeColor="background1"/>
        </w:rPr>
        <w:t xml:space="preserve">Résiliation </w:t>
      </w:r>
      <w:r w:rsidR="00E46A4A">
        <w:rPr>
          <w:color w:val="FFFFFF" w:themeColor="background1"/>
        </w:rPr>
        <w:t>et adaptation/suspension de l’accord-cadre</w:t>
      </w:r>
      <w:bookmarkEnd w:id="175"/>
    </w:p>
    <w:p w14:paraId="724A1156" w14:textId="226EEAAC" w:rsidR="004E4C92" w:rsidRPr="00050F55" w:rsidRDefault="004E4C92" w:rsidP="004E4C92">
      <w:pPr>
        <w:pStyle w:val="Titre2"/>
        <w:shd w:val="clear" w:color="auto" w:fill="auto"/>
        <w:contextualSpacing/>
        <w:rPr>
          <w:bCs w:val="0"/>
          <w:color w:val="683766"/>
          <w:sz w:val="22"/>
          <w:szCs w:val="22"/>
        </w:rPr>
      </w:pPr>
      <w:bookmarkStart w:id="176" w:name="_Toc222244234"/>
      <w:r w:rsidRPr="00050F55">
        <w:rPr>
          <w:bCs w:val="0"/>
          <w:color w:val="683766"/>
          <w:sz w:val="22"/>
          <w:szCs w:val="22"/>
        </w:rPr>
        <w:t>Résiliation de l’accord-cadre aux torts du titulaire</w:t>
      </w:r>
      <w:bookmarkEnd w:id="176"/>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DB091B">
      <w:pPr>
        <w:pStyle w:val="Paragraphedeliste"/>
        <w:numPr>
          <w:ilvl w:val="0"/>
          <w:numId w:val="15"/>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DB091B">
      <w:pPr>
        <w:pStyle w:val="Paragraphedeliste"/>
        <w:numPr>
          <w:ilvl w:val="0"/>
          <w:numId w:val="15"/>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DB091B">
      <w:pPr>
        <w:pStyle w:val="Paragraphedeliste"/>
        <w:numPr>
          <w:ilvl w:val="0"/>
          <w:numId w:val="15"/>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w:t>
      </w:r>
      <w:r w:rsidRPr="00B473D9">
        <w:rPr>
          <w:sz w:val="20"/>
          <w:szCs w:val="20"/>
        </w:rPr>
        <w:lastRenderedPageBreak/>
        <w:t xml:space="preserve">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77" w:name="_Toc222244235"/>
      <w:r w:rsidRPr="00050F55">
        <w:rPr>
          <w:bCs w:val="0"/>
          <w:color w:val="683766"/>
          <w:sz w:val="22"/>
          <w:szCs w:val="22"/>
        </w:rPr>
        <w:t>Résiliation de l’accord-cadre pour motif d’intérêt général</w:t>
      </w:r>
      <w:bookmarkEnd w:id="177"/>
    </w:p>
    <w:p w14:paraId="38EDACC5" w14:textId="7F4AE6C0" w:rsidR="00E16B55" w:rsidRPr="00E16B55" w:rsidRDefault="00E16B55" w:rsidP="00E16B55">
      <w:pPr>
        <w:spacing w:before="120" w:after="120"/>
        <w:jc w:val="both"/>
        <w:rPr>
          <w:sz w:val="20"/>
          <w:szCs w:val="20"/>
        </w:rPr>
      </w:pPr>
      <w:bookmarkStart w:id="178" w:name="_Hlk42007900"/>
      <w:bookmarkStart w:id="179"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78"/>
    </w:p>
    <w:p w14:paraId="57139102" w14:textId="7C37D958" w:rsidR="00C20ABE" w:rsidRPr="00050F55" w:rsidRDefault="00C20ABE" w:rsidP="00C20ABE">
      <w:pPr>
        <w:pStyle w:val="Titre2"/>
        <w:shd w:val="clear" w:color="auto" w:fill="auto"/>
        <w:contextualSpacing/>
        <w:rPr>
          <w:bCs w:val="0"/>
          <w:color w:val="683766"/>
          <w:sz w:val="22"/>
          <w:szCs w:val="22"/>
        </w:rPr>
      </w:pPr>
      <w:bookmarkStart w:id="180" w:name="_Toc222244236"/>
      <w:bookmarkEnd w:id="179"/>
      <w:r w:rsidRPr="00050F55">
        <w:rPr>
          <w:bCs w:val="0"/>
          <w:color w:val="683766"/>
          <w:sz w:val="22"/>
          <w:szCs w:val="22"/>
        </w:rPr>
        <w:t>Adaptation – suspension de l’accord-cadre</w:t>
      </w:r>
      <w:bookmarkEnd w:id="180"/>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044F5BF3"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D977D4">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81" w:name="_Toc222244237"/>
      <w:r w:rsidRPr="00E20E3E">
        <w:rPr>
          <w:color w:val="FFFFFF" w:themeColor="background1"/>
        </w:rPr>
        <w:t>Obligation de respect de la loi « RPR »</w:t>
      </w:r>
      <w:bookmarkEnd w:id="181"/>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DB091B">
      <w:pPr>
        <w:pStyle w:val="Paragraphedeliste"/>
        <w:numPr>
          <w:ilvl w:val="0"/>
          <w:numId w:val="24"/>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DB091B">
      <w:pPr>
        <w:pStyle w:val="Paragraphedeliste"/>
        <w:numPr>
          <w:ilvl w:val="0"/>
          <w:numId w:val="24"/>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DB091B">
      <w:pPr>
        <w:pStyle w:val="Paragraphedeliste"/>
        <w:numPr>
          <w:ilvl w:val="0"/>
          <w:numId w:val="24"/>
        </w:numPr>
        <w:spacing w:before="120" w:after="120"/>
        <w:ind w:left="714" w:hanging="357"/>
        <w:contextualSpacing w:val="0"/>
        <w:rPr>
          <w:sz w:val="20"/>
          <w:szCs w:val="20"/>
        </w:rPr>
      </w:pPr>
      <w:r w:rsidRPr="00E20E3E">
        <w:rPr>
          <w:sz w:val="20"/>
          <w:szCs w:val="20"/>
        </w:rPr>
        <w:lastRenderedPageBreak/>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DB091B">
      <w:pPr>
        <w:pStyle w:val="Paragraphedeliste"/>
        <w:numPr>
          <w:ilvl w:val="0"/>
          <w:numId w:val="24"/>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DB091B">
      <w:pPr>
        <w:pStyle w:val="Paragraphedeliste"/>
        <w:numPr>
          <w:ilvl w:val="0"/>
          <w:numId w:val="24"/>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82" w:name="_Toc356146862"/>
      <w:bookmarkStart w:id="183" w:name="_Toc222244238"/>
      <w:r w:rsidRPr="00622EC0">
        <w:rPr>
          <w:color w:val="FFFFFF" w:themeColor="background1"/>
        </w:rPr>
        <w:t>Assurances</w:t>
      </w:r>
      <w:bookmarkEnd w:id="182"/>
      <w:bookmarkEnd w:id="183"/>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84" w:name="_Toc222244239"/>
      <w:r w:rsidRPr="00622EC0">
        <w:rPr>
          <w:color w:val="FFFFFF" w:themeColor="background1"/>
        </w:rPr>
        <w:t>Obligation du Titulaire tous les 6 mois</w:t>
      </w:r>
      <w:bookmarkEnd w:id="184"/>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DB091B">
      <w:pPr>
        <w:pStyle w:val="Paragraphedeliste"/>
        <w:numPr>
          <w:ilvl w:val="0"/>
          <w:numId w:val="21"/>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DB091B">
      <w:pPr>
        <w:pStyle w:val="Paragraphedeliste"/>
        <w:numPr>
          <w:ilvl w:val="0"/>
          <w:numId w:val="21"/>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DB091B">
      <w:pPr>
        <w:pStyle w:val="Paragraphedeliste"/>
        <w:numPr>
          <w:ilvl w:val="0"/>
          <w:numId w:val="21"/>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85" w:name="_Toc356146863"/>
      <w:bookmarkStart w:id="186" w:name="_Toc222244240"/>
      <w:r w:rsidRPr="00622EC0">
        <w:rPr>
          <w:color w:val="FFFFFF" w:themeColor="background1"/>
        </w:rPr>
        <w:lastRenderedPageBreak/>
        <w:t>Litiges et différends – Droit applicable</w:t>
      </w:r>
      <w:bookmarkEnd w:id="185"/>
      <w:bookmarkEnd w:id="186"/>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87" w:name="_Toc356146864"/>
      <w:bookmarkStart w:id="188" w:name="_Toc222244241"/>
      <w:r w:rsidRPr="00622EC0">
        <w:rPr>
          <w:color w:val="FFFFFF" w:themeColor="background1"/>
        </w:rPr>
        <w:t>Dérogation aux documents généraux</w:t>
      </w:r>
      <w:bookmarkEnd w:id="187"/>
      <w:bookmarkEnd w:id="188"/>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491B43" w:rsidRPr="00FC3402" w14:paraId="6B45C994" w14:textId="77777777" w:rsidTr="002A465B">
        <w:trPr>
          <w:trHeight w:val="598"/>
          <w:jc w:val="center"/>
        </w:trPr>
        <w:tc>
          <w:tcPr>
            <w:tcW w:w="2830" w:type="dxa"/>
            <w:vAlign w:val="center"/>
          </w:tcPr>
          <w:p w14:paraId="56ED0EAC" w14:textId="77777777" w:rsidR="00491B43" w:rsidRPr="00FC3402" w:rsidRDefault="00491B43" w:rsidP="002A465B">
            <w:pPr>
              <w:spacing w:after="200"/>
              <w:contextualSpacing/>
              <w:jc w:val="center"/>
              <w:rPr>
                <w:rFonts w:cs="Arial"/>
                <w:b/>
                <w:sz w:val="20"/>
                <w:szCs w:val="20"/>
              </w:rPr>
            </w:pPr>
            <w:bookmarkStart w:id="189" w:name="_Hlk171011149"/>
            <w:r w:rsidRPr="00FC3402">
              <w:rPr>
                <w:rFonts w:cs="Arial"/>
                <w:b/>
                <w:sz w:val="20"/>
                <w:szCs w:val="20"/>
              </w:rPr>
              <w:t>Articles du CCAP</w:t>
            </w:r>
          </w:p>
        </w:tc>
        <w:tc>
          <w:tcPr>
            <w:tcW w:w="6124" w:type="dxa"/>
            <w:vAlign w:val="center"/>
          </w:tcPr>
          <w:p w14:paraId="5F58C336" w14:textId="77777777" w:rsidR="00491B43" w:rsidRPr="00FC3402" w:rsidRDefault="00491B43" w:rsidP="002A465B">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491B43" w:rsidRPr="00FC3402" w14:paraId="591020DF" w14:textId="77777777" w:rsidTr="002A465B">
        <w:trPr>
          <w:trHeight w:val="598"/>
          <w:jc w:val="center"/>
        </w:trPr>
        <w:tc>
          <w:tcPr>
            <w:tcW w:w="2830" w:type="dxa"/>
            <w:vAlign w:val="center"/>
          </w:tcPr>
          <w:p w14:paraId="6F53203C" w14:textId="77777777" w:rsidR="00491B43" w:rsidRPr="00FC3402" w:rsidRDefault="00491B43" w:rsidP="002A465B">
            <w:pPr>
              <w:contextualSpacing/>
              <w:jc w:val="center"/>
              <w:rPr>
                <w:rFonts w:cs="Arial"/>
                <w:bCs/>
                <w:sz w:val="20"/>
                <w:szCs w:val="20"/>
              </w:rPr>
            </w:pPr>
            <w:r w:rsidRPr="00FC3402">
              <w:rPr>
                <w:rFonts w:cs="Arial"/>
                <w:bCs/>
                <w:sz w:val="20"/>
                <w:szCs w:val="20"/>
              </w:rPr>
              <w:t>2.7</w:t>
            </w:r>
          </w:p>
        </w:tc>
        <w:tc>
          <w:tcPr>
            <w:tcW w:w="6124" w:type="dxa"/>
            <w:vAlign w:val="center"/>
          </w:tcPr>
          <w:p w14:paraId="6308862C" w14:textId="77777777" w:rsidR="00491B43" w:rsidRPr="00FC3402" w:rsidRDefault="00491B43" w:rsidP="002A465B">
            <w:pPr>
              <w:contextualSpacing/>
              <w:jc w:val="center"/>
              <w:rPr>
                <w:rFonts w:cs="Arial"/>
                <w:bCs/>
                <w:sz w:val="20"/>
                <w:szCs w:val="20"/>
              </w:rPr>
            </w:pPr>
            <w:r w:rsidRPr="00FC3402">
              <w:rPr>
                <w:rFonts w:cs="Arial"/>
                <w:bCs/>
                <w:sz w:val="20"/>
                <w:szCs w:val="20"/>
              </w:rPr>
              <w:t>3.4.3</w:t>
            </w:r>
          </w:p>
        </w:tc>
      </w:tr>
      <w:tr w:rsidR="00491B43" w:rsidRPr="00FC3402" w14:paraId="7970158F" w14:textId="77777777" w:rsidTr="002A465B">
        <w:trPr>
          <w:trHeight w:val="598"/>
          <w:jc w:val="center"/>
        </w:trPr>
        <w:tc>
          <w:tcPr>
            <w:tcW w:w="2830" w:type="dxa"/>
            <w:vAlign w:val="center"/>
          </w:tcPr>
          <w:p w14:paraId="5AC9F183" w14:textId="77777777" w:rsidR="00491B43" w:rsidRPr="00FC3402" w:rsidRDefault="00491B43" w:rsidP="002A465B">
            <w:pPr>
              <w:contextualSpacing/>
              <w:jc w:val="center"/>
              <w:rPr>
                <w:rFonts w:cs="Arial"/>
                <w:bCs/>
                <w:sz w:val="20"/>
                <w:szCs w:val="20"/>
              </w:rPr>
            </w:pPr>
            <w:r w:rsidRPr="00FC3402">
              <w:rPr>
                <w:rFonts w:cs="Arial"/>
                <w:bCs/>
                <w:sz w:val="20"/>
                <w:szCs w:val="20"/>
              </w:rPr>
              <w:t>2.8</w:t>
            </w:r>
          </w:p>
        </w:tc>
        <w:tc>
          <w:tcPr>
            <w:tcW w:w="6124" w:type="dxa"/>
            <w:vAlign w:val="center"/>
          </w:tcPr>
          <w:p w14:paraId="10431B04" w14:textId="77777777" w:rsidR="00491B43" w:rsidRPr="00FC3402" w:rsidRDefault="00491B43" w:rsidP="002A465B">
            <w:pPr>
              <w:contextualSpacing/>
              <w:jc w:val="center"/>
              <w:rPr>
                <w:rFonts w:cs="Arial"/>
                <w:bCs/>
                <w:sz w:val="20"/>
                <w:szCs w:val="20"/>
              </w:rPr>
            </w:pPr>
            <w:r w:rsidRPr="00FC3402">
              <w:rPr>
                <w:rFonts w:cs="Arial"/>
                <w:bCs/>
                <w:sz w:val="20"/>
                <w:szCs w:val="20"/>
              </w:rPr>
              <w:t>3.8.2</w:t>
            </w:r>
          </w:p>
        </w:tc>
      </w:tr>
      <w:tr w:rsidR="00491B43" w:rsidRPr="00FC3402" w14:paraId="6005F5E2" w14:textId="77777777" w:rsidTr="002A465B">
        <w:trPr>
          <w:trHeight w:val="598"/>
          <w:jc w:val="center"/>
        </w:trPr>
        <w:tc>
          <w:tcPr>
            <w:tcW w:w="2830" w:type="dxa"/>
            <w:vAlign w:val="center"/>
          </w:tcPr>
          <w:p w14:paraId="5BF7F620" w14:textId="77777777" w:rsidR="00491B43" w:rsidRPr="00FC3402" w:rsidRDefault="00491B43" w:rsidP="002A465B">
            <w:pPr>
              <w:contextualSpacing/>
              <w:jc w:val="center"/>
              <w:rPr>
                <w:rFonts w:cs="Arial"/>
                <w:bCs/>
                <w:sz w:val="20"/>
                <w:szCs w:val="20"/>
              </w:rPr>
            </w:pPr>
            <w:r>
              <w:rPr>
                <w:rFonts w:cs="Arial"/>
                <w:bCs/>
                <w:sz w:val="20"/>
                <w:szCs w:val="20"/>
              </w:rPr>
              <w:t>9</w:t>
            </w:r>
            <w:r w:rsidRPr="00FC3402">
              <w:rPr>
                <w:rFonts w:cs="Arial"/>
                <w:bCs/>
                <w:sz w:val="20"/>
                <w:szCs w:val="20"/>
              </w:rPr>
              <w:t>.2</w:t>
            </w:r>
          </w:p>
        </w:tc>
        <w:tc>
          <w:tcPr>
            <w:tcW w:w="6124" w:type="dxa"/>
            <w:vAlign w:val="center"/>
          </w:tcPr>
          <w:p w14:paraId="52AA081C" w14:textId="77777777" w:rsidR="00491B43" w:rsidRPr="00FC3402" w:rsidRDefault="00491B43" w:rsidP="002A465B">
            <w:pPr>
              <w:contextualSpacing/>
              <w:jc w:val="center"/>
              <w:rPr>
                <w:rFonts w:cs="Arial"/>
                <w:bCs/>
                <w:sz w:val="20"/>
                <w:szCs w:val="20"/>
              </w:rPr>
            </w:pPr>
            <w:r w:rsidRPr="00FC3402">
              <w:rPr>
                <w:rFonts w:cs="Arial"/>
                <w:bCs/>
                <w:sz w:val="20"/>
                <w:szCs w:val="20"/>
              </w:rPr>
              <w:t>3.5</w:t>
            </w:r>
          </w:p>
        </w:tc>
      </w:tr>
      <w:tr w:rsidR="00491B43" w:rsidRPr="00FC3402" w14:paraId="71DA2CBA" w14:textId="77777777" w:rsidTr="002A465B">
        <w:trPr>
          <w:trHeight w:val="598"/>
          <w:jc w:val="center"/>
        </w:trPr>
        <w:tc>
          <w:tcPr>
            <w:tcW w:w="2830" w:type="dxa"/>
            <w:vAlign w:val="center"/>
          </w:tcPr>
          <w:p w14:paraId="5FB6C587" w14:textId="77777777" w:rsidR="00491B43" w:rsidRDefault="00491B43" w:rsidP="002A465B">
            <w:pPr>
              <w:contextualSpacing/>
              <w:jc w:val="center"/>
              <w:rPr>
                <w:rFonts w:cs="Arial"/>
                <w:bCs/>
                <w:sz w:val="20"/>
                <w:szCs w:val="20"/>
              </w:rPr>
            </w:pPr>
            <w:r>
              <w:rPr>
                <w:rFonts w:cs="Arial"/>
                <w:bCs/>
                <w:sz w:val="20"/>
                <w:szCs w:val="20"/>
              </w:rPr>
              <w:t>9.6.1</w:t>
            </w:r>
          </w:p>
        </w:tc>
        <w:tc>
          <w:tcPr>
            <w:tcW w:w="6124" w:type="dxa"/>
            <w:vAlign w:val="center"/>
          </w:tcPr>
          <w:p w14:paraId="01C4B180" w14:textId="77777777" w:rsidR="00491B43" w:rsidRDefault="00491B43" w:rsidP="002A465B">
            <w:pPr>
              <w:contextualSpacing/>
              <w:jc w:val="center"/>
              <w:rPr>
                <w:rFonts w:cs="Arial"/>
                <w:bCs/>
                <w:sz w:val="20"/>
                <w:szCs w:val="20"/>
              </w:rPr>
            </w:pPr>
            <w:r>
              <w:rPr>
                <w:rFonts w:cs="Arial"/>
                <w:bCs/>
                <w:sz w:val="20"/>
                <w:szCs w:val="20"/>
              </w:rPr>
              <w:t>12.1</w:t>
            </w:r>
          </w:p>
        </w:tc>
      </w:tr>
      <w:tr w:rsidR="00491B43" w:rsidRPr="00FC3402" w14:paraId="0E79680F" w14:textId="77777777" w:rsidTr="002A465B">
        <w:trPr>
          <w:trHeight w:val="598"/>
          <w:jc w:val="center"/>
        </w:trPr>
        <w:tc>
          <w:tcPr>
            <w:tcW w:w="2830" w:type="dxa"/>
            <w:vAlign w:val="center"/>
          </w:tcPr>
          <w:p w14:paraId="59F2C25F" w14:textId="77777777" w:rsidR="00491B43" w:rsidRPr="00FC3402" w:rsidRDefault="00491B43" w:rsidP="002A465B">
            <w:pPr>
              <w:contextualSpacing/>
              <w:jc w:val="center"/>
              <w:rPr>
                <w:rFonts w:cs="Arial"/>
                <w:bCs/>
                <w:sz w:val="20"/>
                <w:szCs w:val="20"/>
              </w:rPr>
            </w:pPr>
            <w:r>
              <w:rPr>
                <w:rFonts w:cs="Arial"/>
                <w:bCs/>
                <w:sz w:val="20"/>
                <w:szCs w:val="20"/>
              </w:rPr>
              <w:t>15</w:t>
            </w:r>
          </w:p>
        </w:tc>
        <w:tc>
          <w:tcPr>
            <w:tcW w:w="6124" w:type="dxa"/>
            <w:vAlign w:val="center"/>
          </w:tcPr>
          <w:p w14:paraId="5117AF85" w14:textId="77777777" w:rsidR="00491B43" w:rsidRPr="00FC3402" w:rsidRDefault="00491B43" w:rsidP="002A465B">
            <w:pPr>
              <w:contextualSpacing/>
              <w:jc w:val="center"/>
              <w:rPr>
                <w:rFonts w:cs="Arial"/>
                <w:bCs/>
                <w:sz w:val="20"/>
                <w:szCs w:val="20"/>
              </w:rPr>
            </w:pPr>
            <w:r w:rsidRPr="00FC3402">
              <w:rPr>
                <w:rFonts w:cs="Arial"/>
                <w:bCs/>
                <w:sz w:val="20"/>
                <w:szCs w:val="20"/>
              </w:rPr>
              <w:t>14.1</w:t>
            </w:r>
          </w:p>
          <w:p w14:paraId="14B56892" w14:textId="77777777" w:rsidR="00491B43" w:rsidRPr="00FC3402" w:rsidRDefault="00491B43" w:rsidP="002A465B">
            <w:pPr>
              <w:contextualSpacing/>
              <w:jc w:val="center"/>
              <w:rPr>
                <w:rFonts w:cs="Arial"/>
                <w:bCs/>
                <w:sz w:val="20"/>
                <w:szCs w:val="20"/>
              </w:rPr>
            </w:pPr>
            <w:r w:rsidRPr="00FC3402">
              <w:rPr>
                <w:rFonts w:cs="Arial"/>
                <w:bCs/>
                <w:sz w:val="20"/>
                <w:szCs w:val="20"/>
              </w:rPr>
              <w:t>14.1.2</w:t>
            </w:r>
          </w:p>
        </w:tc>
      </w:tr>
      <w:tr w:rsidR="00491B43" w:rsidRPr="00FC3402" w14:paraId="74E38149" w14:textId="77777777" w:rsidTr="002A465B">
        <w:trPr>
          <w:trHeight w:val="598"/>
          <w:jc w:val="center"/>
        </w:trPr>
        <w:tc>
          <w:tcPr>
            <w:tcW w:w="2830" w:type="dxa"/>
            <w:vAlign w:val="center"/>
          </w:tcPr>
          <w:p w14:paraId="6299B1B5" w14:textId="77777777" w:rsidR="00491B43" w:rsidRPr="00FC3402" w:rsidRDefault="00491B43" w:rsidP="002A465B">
            <w:pPr>
              <w:contextualSpacing/>
              <w:jc w:val="center"/>
              <w:rPr>
                <w:rFonts w:cs="Arial"/>
                <w:bCs/>
                <w:sz w:val="20"/>
                <w:szCs w:val="20"/>
              </w:rPr>
            </w:pPr>
            <w:r w:rsidRPr="00FC3402">
              <w:rPr>
                <w:rFonts w:cs="Arial"/>
                <w:bCs/>
                <w:sz w:val="20"/>
                <w:szCs w:val="20"/>
              </w:rPr>
              <w:t>14.1</w:t>
            </w:r>
          </w:p>
        </w:tc>
        <w:tc>
          <w:tcPr>
            <w:tcW w:w="6124" w:type="dxa"/>
            <w:vAlign w:val="center"/>
          </w:tcPr>
          <w:p w14:paraId="3D4357AD" w14:textId="77777777" w:rsidR="00491B43" w:rsidRDefault="00491B43" w:rsidP="002A465B">
            <w:pPr>
              <w:contextualSpacing/>
              <w:jc w:val="center"/>
              <w:rPr>
                <w:rFonts w:cs="Arial"/>
                <w:bCs/>
                <w:sz w:val="20"/>
                <w:szCs w:val="20"/>
              </w:rPr>
            </w:pPr>
            <w:r>
              <w:rPr>
                <w:rFonts w:cs="Arial"/>
                <w:bCs/>
                <w:sz w:val="20"/>
                <w:szCs w:val="20"/>
              </w:rPr>
              <w:t>22.3</w:t>
            </w:r>
          </w:p>
          <w:p w14:paraId="5B876967" w14:textId="77777777" w:rsidR="00491B43" w:rsidRPr="00FC3402" w:rsidRDefault="00491B43" w:rsidP="002A465B">
            <w:pPr>
              <w:contextualSpacing/>
              <w:jc w:val="center"/>
              <w:rPr>
                <w:rFonts w:cs="Arial"/>
                <w:bCs/>
                <w:sz w:val="20"/>
                <w:szCs w:val="20"/>
              </w:rPr>
            </w:pPr>
            <w:r>
              <w:rPr>
                <w:rFonts w:cs="Arial"/>
                <w:bCs/>
                <w:sz w:val="20"/>
                <w:szCs w:val="20"/>
              </w:rPr>
              <w:t>23.2</w:t>
            </w:r>
          </w:p>
        </w:tc>
      </w:tr>
      <w:tr w:rsidR="00491B43" w:rsidRPr="00FC3402" w14:paraId="3C339075" w14:textId="77777777" w:rsidTr="002A465B">
        <w:trPr>
          <w:trHeight w:val="598"/>
          <w:jc w:val="center"/>
        </w:trPr>
        <w:tc>
          <w:tcPr>
            <w:tcW w:w="2830" w:type="dxa"/>
            <w:vAlign w:val="center"/>
          </w:tcPr>
          <w:p w14:paraId="56E3CACC" w14:textId="77777777" w:rsidR="00491B43" w:rsidRPr="00FC3402" w:rsidRDefault="00491B43" w:rsidP="002A465B">
            <w:pPr>
              <w:contextualSpacing/>
              <w:jc w:val="center"/>
              <w:rPr>
                <w:rFonts w:cs="Arial"/>
                <w:bCs/>
                <w:sz w:val="20"/>
                <w:szCs w:val="20"/>
              </w:rPr>
            </w:pPr>
            <w:r w:rsidRPr="00FC3402">
              <w:rPr>
                <w:rFonts w:cs="Arial"/>
                <w:bCs/>
                <w:sz w:val="20"/>
                <w:szCs w:val="20"/>
              </w:rPr>
              <w:t>14.2</w:t>
            </w:r>
          </w:p>
        </w:tc>
        <w:tc>
          <w:tcPr>
            <w:tcW w:w="6124" w:type="dxa"/>
            <w:vAlign w:val="center"/>
          </w:tcPr>
          <w:p w14:paraId="7BE7E8EB" w14:textId="77777777" w:rsidR="00491B43" w:rsidRPr="00FC3402" w:rsidRDefault="00491B43" w:rsidP="002A465B">
            <w:pPr>
              <w:contextualSpacing/>
              <w:jc w:val="center"/>
              <w:rPr>
                <w:rFonts w:cs="Arial"/>
                <w:bCs/>
                <w:sz w:val="20"/>
                <w:szCs w:val="20"/>
              </w:rPr>
            </w:pPr>
            <w:r>
              <w:rPr>
                <w:rFonts w:cs="Arial"/>
                <w:bCs/>
                <w:sz w:val="20"/>
                <w:szCs w:val="20"/>
              </w:rPr>
              <w:t>25.2.3</w:t>
            </w:r>
          </w:p>
          <w:p w14:paraId="0ADF8665" w14:textId="77777777" w:rsidR="00491B43" w:rsidRPr="00FC3402" w:rsidRDefault="00491B43" w:rsidP="002A465B">
            <w:pPr>
              <w:contextualSpacing/>
              <w:jc w:val="center"/>
              <w:rPr>
                <w:rFonts w:cs="Arial"/>
                <w:bCs/>
                <w:sz w:val="20"/>
                <w:szCs w:val="20"/>
              </w:rPr>
            </w:pPr>
            <w:r>
              <w:rPr>
                <w:rFonts w:cs="Arial"/>
                <w:bCs/>
                <w:sz w:val="20"/>
                <w:szCs w:val="20"/>
              </w:rPr>
              <w:t>25.5</w:t>
            </w:r>
          </w:p>
        </w:tc>
      </w:tr>
      <w:tr w:rsidR="00491B43" w:rsidRPr="00FC3402" w14:paraId="52C4C9B1" w14:textId="77777777" w:rsidTr="002A465B">
        <w:trPr>
          <w:trHeight w:val="598"/>
          <w:jc w:val="center"/>
        </w:trPr>
        <w:tc>
          <w:tcPr>
            <w:tcW w:w="2830" w:type="dxa"/>
            <w:vAlign w:val="center"/>
          </w:tcPr>
          <w:p w14:paraId="2139A216" w14:textId="77777777" w:rsidR="00491B43" w:rsidRDefault="00491B43" w:rsidP="002A465B">
            <w:pPr>
              <w:contextualSpacing/>
              <w:jc w:val="center"/>
              <w:rPr>
                <w:rFonts w:cs="Arial"/>
                <w:bCs/>
                <w:sz w:val="20"/>
                <w:szCs w:val="20"/>
              </w:rPr>
            </w:pPr>
            <w:r>
              <w:rPr>
                <w:rFonts w:cs="Arial"/>
                <w:bCs/>
                <w:sz w:val="20"/>
                <w:szCs w:val="20"/>
              </w:rPr>
              <w:t>16.4</w:t>
            </w:r>
          </w:p>
        </w:tc>
        <w:tc>
          <w:tcPr>
            <w:tcW w:w="6124" w:type="dxa"/>
            <w:vAlign w:val="center"/>
          </w:tcPr>
          <w:p w14:paraId="3B0BE7B4" w14:textId="77777777" w:rsidR="00491B43" w:rsidRDefault="00491B43" w:rsidP="002A465B">
            <w:pPr>
              <w:contextualSpacing/>
              <w:jc w:val="center"/>
              <w:rPr>
                <w:rFonts w:cs="Arial"/>
                <w:bCs/>
                <w:sz w:val="20"/>
                <w:szCs w:val="20"/>
              </w:rPr>
            </w:pPr>
            <w:r>
              <w:rPr>
                <w:rFonts w:cs="Arial"/>
                <w:bCs/>
                <w:sz w:val="20"/>
                <w:szCs w:val="20"/>
              </w:rPr>
              <w:t>34.1</w:t>
            </w:r>
          </w:p>
        </w:tc>
      </w:tr>
      <w:tr w:rsidR="00491B43" w:rsidRPr="00FC3402" w14:paraId="3E7E1153" w14:textId="77777777" w:rsidTr="002A465B">
        <w:trPr>
          <w:trHeight w:val="598"/>
          <w:jc w:val="center"/>
        </w:trPr>
        <w:tc>
          <w:tcPr>
            <w:tcW w:w="2830" w:type="dxa"/>
            <w:vAlign w:val="center"/>
          </w:tcPr>
          <w:p w14:paraId="627A7B51" w14:textId="77777777" w:rsidR="00491B43" w:rsidRPr="00FC3402" w:rsidRDefault="00491B43" w:rsidP="002A465B">
            <w:pPr>
              <w:contextualSpacing/>
              <w:jc w:val="center"/>
              <w:rPr>
                <w:rFonts w:cs="Arial"/>
                <w:bCs/>
                <w:sz w:val="20"/>
                <w:szCs w:val="20"/>
              </w:rPr>
            </w:pPr>
            <w:r>
              <w:rPr>
                <w:rFonts w:cs="Arial"/>
                <w:bCs/>
                <w:sz w:val="20"/>
                <w:szCs w:val="20"/>
              </w:rPr>
              <w:t>16.5</w:t>
            </w:r>
          </w:p>
        </w:tc>
        <w:tc>
          <w:tcPr>
            <w:tcW w:w="6124" w:type="dxa"/>
            <w:vAlign w:val="center"/>
          </w:tcPr>
          <w:p w14:paraId="0FD9C179" w14:textId="77777777" w:rsidR="00491B43" w:rsidRDefault="00491B43" w:rsidP="002A465B">
            <w:pPr>
              <w:contextualSpacing/>
              <w:jc w:val="center"/>
              <w:rPr>
                <w:rFonts w:cs="Arial"/>
                <w:bCs/>
                <w:sz w:val="20"/>
                <w:szCs w:val="20"/>
              </w:rPr>
            </w:pPr>
            <w:r>
              <w:rPr>
                <w:rFonts w:cs="Arial"/>
                <w:bCs/>
                <w:sz w:val="20"/>
                <w:szCs w:val="20"/>
              </w:rPr>
              <w:t>34.2.1</w:t>
            </w:r>
          </w:p>
          <w:p w14:paraId="2FDFF9C7" w14:textId="77777777" w:rsidR="00491B43" w:rsidRDefault="00491B43" w:rsidP="002A465B">
            <w:pPr>
              <w:contextualSpacing/>
              <w:jc w:val="center"/>
              <w:rPr>
                <w:rFonts w:cs="Arial"/>
                <w:bCs/>
                <w:sz w:val="20"/>
                <w:szCs w:val="20"/>
              </w:rPr>
            </w:pPr>
            <w:r>
              <w:rPr>
                <w:rFonts w:cs="Arial"/>
                <w:bCs/>
                <w:sz w:val="20"/>
                <w:szCs w:val="20"/>
              </w:rPr>
              <w:t>34.3</w:t>
            </w:r>
          </w:p>
        </w:tc>
      </w:tr>
      <w:tr w:rsidR="00491B43" w:rsidRPr="00FC3402" w14:paraId="53508699" w14:textId="77777777" w:rsidTr="002A465B">
        <w:trPr>
          <w:trHeight w:val="598"/>
          <w:jc w:val="center"/>
        </w:trPr>
        <w:tc>
          <w:tcPr>
            <w:tcW w:w="2830" w:type="dxa"/>
            <w:vAlign w:val="center"/>
          </w:tcPr>
          <w:p w14:paraId="056B6251" w14:textId="77777777" w:rsidR="00491B43" w:rsidRPr="00FC3402" w:rsidRDefault="00491B43" w:rsidP="002A465B">
            <w:pPr>
              <w:contextualSpacing/>
              <w:jc w:val="center"/>
              <w:rPr>
                <w:rFonts w:cs="Arial"/>
                <w:bCs/>
                <w:sz w:val="20"/>
                <w:szCs w:val="20"/>
              </w:rPr>
            </w:pPr>
            <w:r>
              <w:rPr>
                <w:rFonts w:cs="Arial"/>
                <w:bCs/>
                <w:sz w:val="20"/>
                <w:szCs w:val="20"/>
              </w:rPr>
              <w:t>20</w:t>
            </w:r>
            <w:r w:rsidRPr="00FC3402">
              <w:rPr>
                <w:rFonts w:cs="Arial"/>
                <w:bCs/>
                <w:sz w:val="20"/>
                <w:szCs w:val="20"/>
              </w:rPr>
              <w:t>.1</w:t>
            </w:r>
          </w:p>
        </w:tc>
        <w:tc>
          <w:tcPr>
            <w:tcW w:w="6124" w:type="dxa"/>
            <w:vAlign w:val="center"/>
          </w:tcPr>
          <w:p w14:paraId="03A763A5" w14:textId="77777777" w:rsidR="00491B43" w:rsidRDefault="00491B43" w:rsidP="002A465B">
            <w:pPr>
              <w:contextualSpacing/>
              <w:jc w:val="center"/>
              <w:rPr>
                <w:rFonts w:cs="Arial"/>
                <w:bCs/>
                <w:sz w:val="20"/>
                <w:szCs w:val="20"/>
              </w:rPr>
            </w:pPr>
            <w:r>
              <w:rPr>
                <w:rFonts w:cs="Arial"/>
                <w:bCs/>
                <w:sz w:val="20"/>
                <w:szCs w:val="20"/>
              </w:rPr>
              <w:t>54</w:t>
            </w:r>
          </w:p>
          <w:p w14:paraId="47A6567B" w14:textId="77777777" w:rsidR="00491B43" w:rsidRPr="00FC3402" w:rsidRDefault="00491B43" w:rsidP="002A465B">
            <w:pPr>
              <w:contextualSpacing/>
              <w:jc w:val="center"/>
              <w:rPr>
                <w:rFonts w:cs="Arial"/>
                <w:bCs/>
                <w:sz w:val="20"/>
                <w:szCs w:val="20"/>
              </w:rPr>
            </w:pPr>
            <w:r>
              <w:rPr>
                <w:rFonts w:cs="Arial"/>
                <w:bCs/>
                <w:sz w:val="20"/>
                <w:szCs w:val="20"/>
              </w:rPr>
              <w:t>50</w:t>
            </w:r>
          </w:p>
        </w:tc>
      </w:tr>
      <w:tr w:rsidR="00491B43" w:rsidRPr="00FC3402" w14:paraId="0B96DC6C" w14:textId="77777777" w:rsidTr="002A465B">
        <w:trPr>
          <w:trHeight w:val="598"/>
          <w:jc w:val="center"/>
        </w:trPr>
        <w:tc>
          <w:tcPr>
            <w:tcW w:w="2830" w:type="dxa"/>
            <w:vAlign w:val="center"/>
          </w:tcPr>
          <w:p w14:paraId="53487439" w14:textId="77777777" w:rsidR="00491B43" w:rsidRPr="00FC3402" w:rsidRDefault="00491B43" w:rsidP="002A465B">
            <w:pPr>
              <w:contextualSpacing/>
              <w:jc w:val="center"/>
              <w:rPr>
                <w:rFonts w:cs="Arial"/>
                <w:bCs/>
                <w:sz w:val="20"/>
                <w:szCs w:val="20"/>
              </w:rPr>
            </w:pPr>
            <w:r>
              <w:rPr>
                <w:rFonts w:cs="Arial"/>
                <w:bCs/>
                <w:sz w:val="20"/>
                <w:szCs w:val="20"/>
              </w:rPr>
              <w:t>20</w:t>
            </w:r>
            <w:r w:rsidRPr="00FC3402">
              <w:rPr>
                <w:rFonts w:cs="Arial"/>
                <w:bCs/>
                <w:sz w:val="20"/>
                <w:szCs w:val="20"/>
              </w:rPr>
              <w:t>.3</w:t>
            </w:r>
          </w:p>
        </w:tc>
        <w:tc>
          <w:tcPr>
            <w:tcW w:w="6124" w:type="dxa"/>
            <w:vAlign w:val="center"/>
          </w:tcPr>
          <w:p w14:paraId="1D9F83FA" w14:textId="77777777" w:rsidR="00491B43" w:rsidRPr="00FC3402" w:rsidRDefault="00491B43" w:rsidP="002A465B">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89"/>
    </w:tbl>
    <w:p w14:paraId="3BB79E9C" w14:textId="74072FA8" w:rsidR="005E042E" w:rsidRDefault="005E042E"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1982781D" w:rsidR="005F5C92" w:rsidRPr="005F5C92" w:rsidRDefault="00DB091B" w:rsidP="005F5C92">
      <w:pPr>
        <w:pStyle w:val="Titre1"/>
        <w:shd w:val="clear" w:color="auto" w:fill="DC8C00"/>
        <w:contextualSpacing/>
        <w:rPr>
          <w:color w:val="FFFFFF" w:themeColor="background1"/>
        </w:rPr>
      </w:pPr>
      <w:bookmarkStart w:id="190" w:name="_Toc89956401"/>
      <w:bookmarkStart w:id="191" w:name="_Toc222244242"/>
      <w:r w:rsidRPr="005F5C92">
        <w:rPr>
          <w:color w:val="FFFFFF" w:themeColor="background1"/>
        </w:rPr>
        <w:t>Approbation de l’accord-cadre</w:t>
      </w:r>
      <w:bookmarkEnd w:id="190"/>
      <w:bookmarkEnd w:id="191"/>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F8FE9" w14:textId="77777777" w:rsidR="00FD2B57" w:rsidRDefault="00FD2B57" w:rsidP="00984561">
      <w:pPr>
        <w:spacing w:after="0" w:line="240" w:lineRule="auto"/>
      </w:pPr>
      <w:r>
        <w:separator/>
      </w:r>
    </w:p>
  </w:endnote>
  <w:endnote w:type="continuationSeparator" w:id="0">
    <w:p w14:paraId="603358CF" w14:textId="77777777" w:rsidR="00FD2B57" w:rsidRDefault="00FD2B57" w:rsidP="00984561">
      <w:pPr>
        <w:spacing w:after="0" w:line="240" w:lineRule="auto"/>
      </w:pPr>
      <w:r>
        <w:continuationSeparator/>
      </w:r>
    </w:p>
  </w:endnote>
  <w:endnote w:type="continuationNotice" w:id="1">
    <w:p w14:paraId="19B03AA5" w14:textId="77777777" w:rsidR="00FD2B57" w:rsidRDefault="00FD2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763EBCE3" w:rsidR="00C5169D"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DB091B">
                            <w:rPr>
                              <w:color w:val="DC8C00"/>
                              <w:sz w:val="20"/>
                              <w:szCs w:val="20"/>
                            </w:rPr>
                            <w:t>_LOT2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763EBCE3" w:rsidR="00C5169D"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DB091B">
                      <w:rPr>
                        <w:color w:val="DC8C00"/>
                        <w:sz w:val="20"/>
                        <w:szCs w:val="20"/>
                      </w:rPr>
                      <w:t>_LOT2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0873" w14:textId="77777777" w:rsidR="00FD2B57" w:rsidRDefault="00FD2B57" w:rsidP="00984561">
      <w:pPr>
        <w:spacing w:after="0" w:line="240" w:lineRule="auto"/>
      </w:pPr>
      <w:r>
        <w:separator/>
      </w:r>
    </w:p>
  </w:footnote>
  <w:footnote w:type="continuationSeparator" w:id="0">
    <w:p w14:paraId="405DF428" w14:textId="77777777" w:rsidR="00FD2B57" w:rsidRDefault="00FD2B57" w:rsidP="00984561">
      <w:pPr>
        <w:spacing w:after="0" w:line="240" w:lineRule="auto"/>
      </w:pPr>
      <w:r>
        <w:continuationSeparator/>
      </w:r>
    </w:p>
  </w:footnote>
  <w:footnote w:type="continuationNotice" w:id="1">
    <w:p w14:paraId="2FD7FB17" w14:textId="77777777" w:rsidR="00FD2B57" w:rsidRDefault="00FD2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050D1"/>
    <w:multiLevelType w:val="multilevel"/>
    <w:tmpl w:val="DF52022E"/>
    <w:numStyleLink w:val="Style12"/>
  </w:abstractNum>
  <w:abstractNum w:abstractNumId="12"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1986"/>
        </w:tabs>
        <w:ind w:left="1986"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9"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4"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800F2C"/>
    <w:multiLevelType w:val="hybridMultilevel"/>
    <w:tmpl w:val="663A40AE"/>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15:restartNumberingAfterBreak="0">
    <w:nsid w:val="6B3819A8"/>
    <w:multiLevelType w:val="hybridMultilevel"/>
    <w:tmpl w:val="02C8116A"/>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3"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4"/>
  </w:num>
  <w:num w:numId="2" w16cid:durableId="2091075753">
    <w:abstractNumId w:val="33"/>
  </w:num>
  <w:num w:numId="3" w16cid:durableId="78143004">
    <w:abstractNumId w:val="7"/>
  </w:num>
  <w:num w:numId="4" w16cid:durableId="1168598885">
    <w:abstractNumId w:val="32"/>
  </w:num>
  <w:num w:numId="5" w16cid:durableId="506136845">
    <w:abstractNumId w:val="11"/>
  </w:num>
  <w:num w:numId="6" w16cid:durableId="208616768">
    <w:abstractNumId w:val="18"/>
  </w:num>
  <w:num w:numId="7" w16cid:durableId="1225482307">
    <w:abstractNumId w:val="29"/>
  </w:num>
  <w:num w:numId="8" w16cid:durableId="990063946">
    <w:abstractNumId w:val="5"/>
  </w:num>
  <w:num w:numId="9" w16cid:durableId="365251296">
    <w:abstractNumId w:val="22"/>
  </w:num>
  <w:num w:numId="10" w16cid:durableId="1875773511">
    <w:abstractNumId w:val="14"/>
  </w:num>
  <w:num w:numId="11" w16cid:durableId="959148444">
    <w:abstractNumId w:val="26"/>
  </w:num>
  <w:num w:numId="12" w16cid:durableId="1909221314">
    <w:abstractNumId w:val="21"/>
  </w:num>
  <w:num w:numId="13" w16cid:durableId="2019236047">
    <w:abstractNumId w:val="6"/>
  </w:num>
  <w:num w:numId="14" w16cid:durableId="516967035">
    <w:abstractNumId w:val="10"/>
  </w:num>
  <w:num w:numId="15" w16cid:durableId="1421020948">
    <w:abstractNumId w:val="13"/>
  </w:num>
  <w:num w:numId="16" w16cid:durableId="1100949244">
    <w:abstractNumId w:val="23"/>
  </w:num>
  <w:num w:numId="17" w16cid:durableId="1513035995">
    <w:abstractNumId w:val="20"/>
  </w:num>
  <w:num w:numId="18" w16cid:durableId="1377312126">
    <w:abstractNumId w:val="28"/>
  </w:num>
  <w:num w:numId="19" w16cid:durableId="768963116">
    <w:abstractNumId w:val="36"/>
  </w:num>
  <w:num w:numId="20" w16cid:durableId="1745295735">
    <w:abstractNumId w:val="16"/>
  </w:num>
  <w:num w:numId="21" w16cid:durableId="1261721609">
    <w:abstractNumId w:val="12"/>
  </w:num>
  <w:num w:numId="22" w16cid:durableId="408043361">
    <w:abstractNumId w:val="17"/>
  </w:num>
  <w:num w:numId="23" w16cid:durableId="1541891316">
    <w:abstractNumId w:val="37"/>
  </w:num>
  <w:num w:numId="24" w16cid:durableId="972977167">
    <w:abstractNumId w:val="24"/>
  </w:num>
  <w:num w:numId="25" w16cid:durableId="419837370">
    <w:abstractNumId w:val="27"/>
  </w:num>
  <w:num w:numId="26" w16cid:durableId="1537693462">
    <w:abstractNumId w:val="19"/>
  </w:num>
  <w:num w:numId="27" w16cid:durableId="977537773">
    <w:abstractNumId w:val="35"/>
  </w:num>
  <w:num w:numId="28" w16cid:durableId="46532383">
    <w:abstractNumId w:val="25"/>
  </w:num>
  <w:num w:numId="29" w16cid:durableId="981664940">
    <w:abstractNumId w:val="31"/>
  </w:num>
  <w:num w:numId="30" w16cid:durableId="2006588521">
    <w:abstractNumId w:val="1"/>
  </w:num>
  <w:num w:numId="31" w16cid:durableId="21244216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601957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608852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52857450">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0F80"/>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5C2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4D9"/>
    <w:rsid w:val="000F1AED"/>
    <w:rsid w:val="000F1C17"/>
    <w:rsid w:val="000F1D5B"/>
    <w:rsid w:val="000F2321"/>
    <w:rsid w:val="000F3FD6"/>
    <w:rsid w:val="000F4489"/>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20B"/>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7E2"/>
    <w:rsid w:val="00184B00"/>
    <w:rsid w:val="00185B69"/>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071C"/>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24F0"/>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0C5"/>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465"/>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75A"/>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4987"/>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B43"/>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3298"/>
    <w:rsid w:val="004D3B36"/>
    <w:rsid w:val="004D3EC3"/>
    <w:rsid w:val="004D46E0"/>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A3B"/>
    <w:rsid w:val="006A04E1"/>
    <w:rsid w:val="006A143D"/>
    <w:rsid w:val="006A3026"/>
    <w:rsid w:val="006A30EB"/>
    <w:rsid w:val="006A31A3"/>
    <w:rsid w:val="006A3413"/>
    <w:rsid w:val="006A4980"/>
    <w:rsid w:val="006A4BCD"/>
    <w:rsid w:val="006A560C"/>
    <w:rsid w:val="006A59DF"/>
    <w:rsid w:val="006A6A5D"/>
    <w:rsid w:val="006A7B60"/>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040"/>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9750C"/>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7AB"/>
    <w:rsid w:val="008E5DC7"/>
    <w:rsid w:val="008E6440"/>
    <w:rsid w:val="008E6931"/>
    <w:rsid w:val="008F001D"/>
    <w:rsid w:val="008F0434"/>
    <w:rsid w:val="008F1D99"/>
    <w:rsid w:val="008F2A3C"/>
    <w:rsid w:val="008F5A6E"/>
    <w:rsid w:val="008F646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1FBC"/>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360E"/>
    <w:rsid w:val="0097379E"/>
    <w:rsid w:val="00977608"/>
    <w:rsid w:val="00977A7B"/>
    <w:rsid w:val="0098067F"/>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2153"/>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5B7"/>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7D9"/>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87D4A"/>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45BC"/>
    <w:rsid w:val="00AC52F6"/>
    <w:rsid w:val="00AC6A86"/>
    <w:rsid w:val="00AC71F1"/>
    <w:rsid w:val="00AC793E"/>
    <w:rsid w:val="00AD0CC6"/>
    <w:rsid w:val="00AD1BB7"/>
    <w:rsid w:val="00AD1DFD"/>
    <w:rsid w:val="00AD2130"/>
    <w:rsid w:val="00AD2806"/>
    <w:rsid w:val="00AD3101"/>
    <w:rsid w:val="00AD32F6"/>
    <w:rsid w:val="00AD3796"/>
    <w:rsid w:val="00AD6CD1"/>
    <w:rsid w:val="00AD7090"/>
    <w:rsid w:val="00AE08B2"/>
    <w:rsid w:val="00AE249C"/>
    <w:rsid w:val="00AE334A"/>
    <w:rsid w:val="00AE3AB0"/>
    <w:rsid w:val="00AE414B"/>
    <w:rsid w:val="00AE4165"/>
    <w:rsid w:val="00AE6A25"/>
    <w:rsid w:val="00AE6CFD"/>
    <w:rsid w:val="00AE7E85"/>
    <w:rsid w:val="00AF1A96"/>
    <w:rsid w:val="00AF1E4E"/>
    <w:rsid w:val="00AF23B2"/>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7F27"/>
    <w:rsid w:val="00B17F61"/>
    <w:rsid w:val="00B2126F"/>
    <w:rsid w:val="00B21A96"/>
    <w:rsid w:val="00B21EF5"/>
    <w:rsid w:val="00B22456"/>
    <w:rsid w:val="00B243BE"/>
    <w:rsid w:val="00B249A4"/>
    <w:rsid w:val="00B26591"/>
    <w:rsid w:val="00B27064"/>
    <w:rsid w:val="00B27734"/>
    <w:rsid w:val="00B27B5E"/>
    <w:rsid w:val="00B27FE3"/>
    <w:rsid w:val="00B30689"/>
    <w:rsid w:val="00B30BF7"/>
    <w:rsid w:val="00B3145A"/>
    <w:rsid w:val="00B348A7"/>
    <w:rsid w:val="00B34AA6"/>
    <w:rsid w:val="00B35160"/>
    <w:rsid w:val="00B36F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41"/>
    <w:rsid w:val="00B635E4"/>
    <w:rsid w:val="00B63AA1"/>
    <w:rsid w:val="00B63AF7"/>
    <w:rsid w:val="00B63DFF"/>
    <w:rsid w:val="00B63EEE"/>
    <w:rsid w:val="00B6599F"/>
    <w:rsid w:val="00B716E2"/>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325B"/>
    <w:rsid w:val="00BA490A"/>
    <w:rsid w:val="00BA4E1E"/>
    <w:rsid w:val="00BA6C98"/>
    <w:rsid w:val="00BA6F8C"/>
    <w:rsid w:val="00BA7378"/>
    <w:rsid w:val="00BA7A2A"/>
    <w:rsid w:val="00BB0582"/>
    <w:rsid w:val="00BB05C1"/>
    <w:rsid w:val="00BB0C84"/>
    <w:rsid w:val="00BB0DCB"/>
    <w:rsid w:val="00BB30B4"/>
    <w:rsid w:val="00BB3531"/>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7EB"/>
    <w:rsid w:val="00C37BB6"/>
    <w:rsid w:val="00C37F0C"/>
    <w:rsid w:val="00C409F1"/>
    <w:rsid w:val="00C40DF2"/>
    <w:rsid w:val="00C42206"/>
    <w:rsid w:val="00C42709"/>
    <w:rsid w:val="00C438CD"/>
    <w:rsid w:val="00C44494"/>
    <w:rsid w:val="00C4558F"/>
    <w:rsid w:val="00C45779"/>
    <w:rsid w:val="00C45926"/>
    <w:rsid w:val="00C45D47"/>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137B"/>
    <w:rsid w:val="00D3211A"/>
    <w:rsid w:val="00D32E49"/>
    <w:rsid w:val="00D32EEF"/>
    <w:rsid w:val="00D34C48"/>
    <w:rsid w:val="00D35840"/>
    <w:rsid w:val="00D362C3"/>
    <w:rsid w:val="00D36B17"/>
    <w:rsid w:val="00D36B97"/>
    <w:rsid w:val="00D410A7"/>
    <w:rsid w:val="00D416C9"/>
    <w:rsid w:val="00D417AE"/>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7D4"/>
    <w:rsid w:val="00D97AFB"/>
    <w:rsid w:val="00D97CA6"/>
    <w:rsid w:val="00DA07DD"/>
    <w:rsid w:val="00DA1BCE"/>
    <w:rsid w:val="00DA20F5"/>
    <w:rsid w:val="00DA2A15"/>
    <w:rsid w:val="00DA37B3"/>
    <w:rsid w:val="00DA389E"/>
    <w:rsid w:val="00DA3AC9"/>
    <w:rsid w:val="00DA4159"/>
    <w:rsid w:val="00DA444B"/>
    <w:rsid w:val="00DA4C2D"/>
    <w:rsid w:val="00DA69F4"/>
    <w:rsid w:val="00DA7A8A"/>
    <w:rsid w:val="00DB0664"/>
    <w:rsid w:val="00DB091B"/>
    <w:rsid w:val="00DB1E45"/>
    <w:rsid w:val="00DB2D45"/>
    <w:rsid w:val="00DB41BE"/>
    <w:rsid w:val="00DB497B"/>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BB9"/>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535"/>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6F"/>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329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2B57"/>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644"/>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iPriority w:val="99"/>
    <w:unhideWhenUsed/>
    <w:qFormat/>
    <w:rsid w:val="00DE6D24"/>
    <w:rPr>
      <w:sz w:val="18"/>
      <w:szCs w:val="18"/>
    </w:rPr>
  </w:style>
  <w:style w:type="paragraph" w:styleId="Commentaire">
    <w:name w:val="annotation text"/>
    <w:basedOn w:val="Normal"/>
    <w:link w:val="CommentaireCar"/>
    <w:uiPriority w:val="99"/>
    <w:unhideWhenUsed/>
    <w:qFormat/>
    <w:rsid w:val="00DE6D24"/>
    <w:pPr>
      <w:spacing w:line="240" w:lineRule="auto"/>
    </w:pPr>
    <w:rPr>
      <w:sz w:val="24"/>
      <w:szCs w:val="24"/>
    </w:rPr>
  </w:style>
  <w:style w:type="character" w:customStyle="1" w:styleId="CommentaireCar">
    <w:name w:val="Commentaire Car"/>
    <w:basedOn w:val="Policepardfaut"/>
    <w:link w:val="Commentaire"/>
    <w:uiPriority w:val="99"/>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8"/>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19"/>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2"/>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Props1.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3.xml><?xml version="1.0" encoding="utf-8"?>
<ds:datastoreItem xmlns:ds="http://schemas.openxmlformats.org/officeDocument/2006/customXml" ds:itemID="{5C6B67FF-08D2-4F42-AFAF-6337A276D78D}">
  <ds:schemaRefs>
    <ds:schemaRef ds:uri="http://schemas.microsoft.com/sharepoint/v3/contenttype/forms"/>
  </ds:schemaRefs>
</ds:datastoreItem>
</file>

<file path=customXml/itemProps4.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17097</Words>
  <Characters>94034</Characters>
  <Application>Microsoft Office Word</Application>
  <DocSecurity>0</DocSecurity>
  <Lines>783</Lines>
  <Paragraphs>221</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110910</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2</cp:revision>
  <cp:lastPrinted>2024-04-13T00:00:00Z</cp:lastPrinted>
  <dcterms:created xsi:type="dcterms:W3CDTF">2026-02-17T17:15:00Z</dcterms:created>
  <dcterms:modified xsi:type="dcterms:W3CDTF">2026-02-17T17:15:00Z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